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laboratorium"/>
    <w:p>
      <w:pPr>
        <w:pStyle w:val="Heading1"/>
      </w:pPr>
      <w:r>
        <w:t xml:space="preserve">2.5.3 Laboratorium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Daftar inventaris laboratorium</w:t>
      </w:r>
    </w:p>
    <w:p>
      <w:pPr>
        <w:pStyle w:val="Compact"/>
        <w:numPr>
          <w:ilvl w:val="0"/>
          <w:numId w:val="1001"/>
        </w:numPr>
      </w:pPr>
      <w:r>
        <w:t xml:space="preserve">☐ Buku/jurnal/data/grafik layanan laboratorium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