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biasaan-nilai-nilai"/>
    <w:p>
      <w:pPr>
        <w:pStyle w:val="Heading1"/>
      </w:pPr>
      <w:r>
        <w:t xml:space="preserve">2.6.3 Pembiasaan nilai-nilai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kegiatan akademik dan non akademik beserta laporan</w:t>
      </w:r>
    </w:p>
    <w:p>
      <w:pPr>
        <w:pStyle w:val="Compact"/>
        <w:numPr>
          <w:ilvl w:val="0"/>
          <w:numId w:val="1001"/>
        </w:numPr>
      </w:pPr>
      <w:r>
        <w:t xml:space="preserve">☐ Laporan kegiatan pembiasaan diri peserta didik</w:t>
      </w:r>
    </w:p>
    <w:p>
      <w:pPr>
        <w:pStyle w:val="Compact"/>
        <w:numPr>
          <w:ilvl w:val="0"/>
          <w:numId w:val="1001"/>
        </w:numPr>
      </w:pPr>
      <w:r>
        <w:t xml:space="preserve">☐ Dokumentasi kegiatan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