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engembangan-diri-ptk-dan-siswa"/>
    <w:p>
      <w:pPr>
        <w:pStyle w:val="Heading1"/>
      </w:pPr>
      <w:r>
        <w:t xml:space="preserve">2.6.4 Pengembangan diri PTK dan siswa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Program kegiatan pengembangan diri</w:t>
      </w:r>
    </w:p>
    <w:p>
      <w:pPr>
        <w:pStyle w:val="Compact"/>
        <w:numPr>
          <w:ilvl w:val="0"/>
          <w:numId w:val="1001"/>
        </w:numPr>
      </w:pPr>
      <w:r>
        <w:t xml:space="preserve">☐ Dokumen kegiatan</w:t>
      </w:r>
    </w:p>
    <w:p>
      <w:pPr>
        <w:pStyle w:val="Compact"/>
        <w:numPr>
          <w:ilvl w:val="0"/>
          <w:numId w:val="1001"/>
        </w:numPr>
      </w:pPr>
      <w:r>
        <w:t xml:space="preserve">☐ Data prestasi siswa, guru, dan tendik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2026-09-14T19:31:52Z</dcterms:created>
  <dcterms:modified xsi:type="dcterms:W3CDTF">2026-09-14T19:31:52Z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