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gendalian-pelaksanaan-ktsp"/>
    <w:p>
      <w:pPr>
        <w:pStyle w:val="Heading1"/>
      </w:pPr>
      <w:r>
        <w:t xml:space="preserve">2.7.2 Pengendalian pelaksanaan KTSP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Struktur kurikulum</w:t>
      </w:r>
    </w:p>
    <w:p>
      <w:pPr>
        <w:pStyle w:val="Compact"/>
        <w:numPr>
          <w:ilvl w:val="0"/>
          <w:numId w:val="1001"/>
        </w:numPr>
      </w:pPr>
      <w:r>
        <w:t xml:space="preserve">☐ Jadwal pelajaran</w:t>
      </w:r>
    </w:p>
    <w:p>
      <w:pPr>
        <w:pStyle w:val="Compact"/>
        <w:numPr>
          <w:ilvl w:val="0"/>
          <w:numId w:val="1001"/>
        </w:numPr>
      </w:pPr>
      <w:r>
        <w:t xml:space="preserve">☐ Daftar hadir guru</w:t>
      </w:r>
    </w:p>
    <w:p>
      <w:pPr>
        <w:pStyle w:val="Compact"/>
        <w:numPr>
          <w:ilvl w:val="0"/>
          <w:numId w:val="1001"/>
        </w:numPr>
      </w:pPr>
      <w:r>
        <w:t xml:space="preserve">☐ Peraturan akademik</w:t>
      </w:r>
    </w:p>
    <w:p>
      <w:pPr>
        <w:pStyle w:val="Compact"/>
        <w:numPr>
          <w:ilvl w:val="0"/>
          <w:numId w:val="1001"/>
        </w:numPr>
      </w:pPr>
      <w:r>
        <w:t xml:space="preserve">☐ Kalender pendidikan</w:t>
      </w:r>
    </w:p>
    <w:p>
      <w:pPr>
        <w:pStyle w:val="Compact"/>
        <w:numPr>
          <w:ilvl w:val="0"/>
          <w:numId w:val="1001"/>
        </w:numPr>
      </w:pPr>
      <w:r>
        <w:t xml:space="preserve">☐ SK pembagian tugas mengajar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