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fektivitas-tim-kerja-guru"/>
    <w:p>
      <w:pPr>
        <w:pStyle w:val="Heading1"/>
      </w:pPr>
      <w:r>
        <w:t xml:space="preserve">2.7.3 Efektivitas tim kerja guru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KKG/MGMP di madrasah</w:t>
      </w:r>
    </w:p>
    <w:p>
      <w:pPr>
        <w:pStyle w:val="Compact"/>
        <w:numPr>
          <w:ilvl w:val="0"/>
          <w:numId w:val="1001"/>
        </w:numPr>
      </w:pPr>
      <w:r>
        <w:t xml:space="preserve">☐ Laporan pelaksanaan KKG/MGMP</w:t>
      </w:r>
    </w:p>
    <w:p>
      <w:pPr>
        <w:pStyle w:val="Compact"/>
        <w:numPr>
          <w:ilvl w:val="0"/>
          <w:numId w:val="1001"/>
        </w:numPr>
      </w:pPr>
      <w:r>
        <w:t xml:space="preserve">☐ Dokumentasi kegiatan (foto/video)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