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elayanan-belajar-inovatif"/>
    <w:p>
      <w:pPr>
        <w:pStyle w:val="Heading1"/>
      </w:pPr>
      <w:r>
        <w:t xml:space="preserve">2.7.4 Pelayanan belajar inovatif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Catatan observasi kelas, studi dokumen, wawancara dengan siswa dan guru</w:t>
      </w:r>
    </w:p>
    <w:p>
      <w:pPr>
        <w:pStyle w:val="Compact"/>
        <w:numPr>
          <w:ilvl w:val="0"/>
          <w:numId w:val="1001"/>
        </w:numPr>
      </w:pPr>
      <w:r>
        <w:t xml:space="preserve">☐ Telaah ragam metode, media, dan sumber belajar dalam RPP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2026-09-14T19:31:51Z</dcterms:created>
  <dcterms:modified xsi:type="dcterms:W3CDTF">2026-09-14T19:31:51Z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