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olaborasi-dan-kompetisi-siswa"/>
    <w:p>
      <w:pPr>
        <w:pStyle w:val="Heading1"/>
      </w:pPr>
      <w:r>
        <w:t xml:space="preserve">2.7.5 Kolaborasi dan kompetisi siswa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Program, laporan, dan dokumen kegiatan kesiswaan (akademik &amp; non akademik)</w:t>
      </w:r>
    </w:p>
    <w:p>
      <w:pPr>
        <w:pStyle w:val="Compact"/>
        <w:numPr>
          <w:ilvl w:val="0"/>
          <w:numId w:val="1001"/>
        </w:numPr>
      </w:pPr>
      <w:r>
        <w:t xml:space="preserve">☐ Data prestasi akademik/non akademik</w:t>
      </w:r>
    </w:p>
    <w:p>
      <w:pPr>
        <w:pStyle w:val="Compact"/>
        <w:numPr>
          <w:ilvl w:val="0"/>
          <w:numId w:val="1001"/>
        </w:numPr>
      </w:pPr>
      <w:r>
        <w:t xml:space="preserve">☐ Dokumentasi kegiatan (laporan, foto, video)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