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encanaan-kebutuhan-keuangan"/>
    <w:p>
      <w:pPr>
        <w:pStyle w:val="Heading1"/>
      </w:pPr>
      <w:r>
        <w:t xml:space="preserve">2.8.1 Perencanaan kebutuhan keuangan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RKJM dan RKTM</w:t>
      </w:r>
    </w:p>
    <w:p>
      <w:pPr>
        <w:pStyle w:val="Compact"/>
        <w:numPr>
          <w:ilvl w:val="0"/>
          <w:numId w:val="1001"/>
        </w:numPr>
      </w:pPr>
      <w:r>
        <w:t xml:space="preserve">☐ Rencana anggaran</w:t>
      </w:r>
    </w:p>
    <w:p>
      <w:pPr>
        <w:pStyle w:val="Compact"/>
        <w:numPr>
          <w:ilvl w:val="0"/>
          <w:numId w:val="1001"/>
        </w:numPr>
      </w:pPr>
      <w:r>
        <w:t xml:space="preserve">☐ Laporan keuangan</w:t>
      </w:r>
    </w:p>
    <w:p>
      <w:pPr>
        <w:pStyle w:val="Compact"/>
        <w:numPr>
          <w:ilvl w:val="0"/>
          <w:numId w:val="1001"/>
        </w:numPr>
      </w:pPr>
      <w:r>
        <w:t xml:space="preserve">☐ Buku kas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