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ministrasi-madrasah"/>
    <w:p>
      <w:pPr>
        <w:pStyle w:val="Heading1"/>
      </w:pPr>
      <w:r>
        <w:t xml:space="preserve">2.9.2 Administrasi madrasah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administrasi akademik</w:t>
      </w:r>
    </w:p>
    <w:p>
      <w:pPr>
        <w:pStyle w:val="Compact"/>
        <w:numPr>
          <w:ilvl w:val="0"/>
          <w:numId w:val="1001"/>
        </w:numPr>
      </w:pPr>
      <w:r>
        <w:t xml:space="preserve">☐ Dokumen administrasi kesiswaan</w:t>
      </w:r>
    </w:p>
    <w:p>
      <w:pPr>
        <w:pStyle w:val="Compact"/>
        <w:numPr>
          <w:ilvl w:val="0"/>
          <w:numId w:val="1001"/>
        </w:numPr>
      </w:pPr>
      <w:r>
        <w:t xml:space="preserve">☐ Dokumen administrasi sarana/prasarana</w:t>
      </w:r>
    </w:p>
    <w:p>
      <w:pPr>
        <w:pStyle w:val="Compact"/>
        <w:numPr>
          <w:ilvl w:val="0"/>
          <w:numId w:val="1001"/>
        </w:numPr>
      </w:pPr>
      <w:r>
        <w:t xml:space="preserve">☐ Dokumen administrasi keuangan</w:t>
      </w:r>
    </w:p>
    <w:p>
      <w:pPr>
        <w:pStyle w:val="Compact"/>
        <w:numPr>
          <w:ilvl w:val="0"/>
          <w:numId w:val="1001"/>
        </w:numPr>
      </w:pPr>
      <w:r>
        <w:t xml:space="preserve">☐ Dokumen hubungan madrasah dengan masyarakat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