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dministrasi-kearsipan"/>
    <w:p>
      <w:pPr>
        <w:pStyle w:val="Heading1"/>
      </w:pPr>
      <w:r>
        <w:t xml:space="preserve">2.9.3 Administrasi kearsipan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administrasi madrasah</w:t>
      </w:r>
    </w:p>
    <w:p>
      <w:pPr>
        <w:pStyle w:val="Compact"/>
        <w:numPr>
          <w:ilvl w:val="0"/>
          <w:numId w:val="1001"/>
        </w:numPr>
      </w:pPr>
      <w:r>
        <w:t xml:space="preserve">☐ Arsip administrasi</w:t>
      </w:r>
    </w:p>
    <w:p>
      <w:pPr>
        <w:pStyle w:val="Compact"/>
        <w:numPr>
          <w:ilvl w:val="0"/>
          <w:numId w:val="1001"/>
        </w:numPr>
      </w:pPr>
      <w:r>
        <w:t xml:space="preserve">☐ SOP administrasi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2026-09-14T19:31:51Z</dcterms:created>
  <dcterms:modified xsi:type="dcterms:W3CDTF">2026-09-14T19:31:51Z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