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klim-kebebasan-berpikir"/>
    <w:p>
      <w:pPr>
        <w:pStyle w:val="Heading1"/>
      </w:pPr>
      <w:r>
        <w:t xml:space="preserve">3.1.3 Iklim kebebasan berpikir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Data jenis usaha produktif yang dimiliki</w:t>
      </w:r>
    </w:p>
    <w:p>
      <w:pPr>
        <w:pStyle w:val="Compact"/>
        <w:numPr>
          <w:ilvl w:val="0"/>
          <w:numId w:val="1001"/>
        </w:numPr>
      </w:pPr>
      <w:r>
        <w:t xml:space="preserve">☐ Program pengelolaan dan pendayagunaan hasil usaha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2026-09-14T19:31:53Z</dcterms:created>
  <dcterms:modified xsi:type="dcterms:W3CDTF">2026-09-14T19:31:53Z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