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akarsa-warga-madrasah"/>
    <w:p>
      <w:pPr>
        <w:pStyle w:val="Heading1"/>
      </w:pPr>
      <w:r>
        <w:t xml:space="preserve">3.1.4 Prakarsa warga madrasah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Data jenis usaha produktif yang dimiliki</w:t>
      </w:r>
    </w:p>
    <w:p>
      <w:pPr>
        <w:pStyle w:val="Compact"/>
        <w:numPr>
          <w:ilvl w:val="0"/>
          <w:numId w:val="1001"/>
        </w:numPr>
      </w:pPr>
      <w:r>
        <w:t xml:space="preserve">☐ Program pengelolaan dan pendayagunaan hasil usaha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