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ndakan-kreatif-inovatif"/>
    <w:p>
      <w:pPr>
        <w:pStyle w:val="Heading1"/>
      </w:pPr>
      <w:r>
        <w:t xml:space="preserve">3.2.1 Tindakan kreatif inovatif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RPP yang memuat rencana pembelajaran untuk keterampilan berpikir dan bertindak kreatif</w:t>
      </w:r>
    </w:p>
    <w:p>
      <w:pPr>
        <w:pStyle w:val="Compact"/>
        <w:numPr>
          <w:ilvl w:val="0"/>
          <w:numId w:val="1001"/>
        </w:numPr>
      </w:pPr>
      <w:r>
        <w:t xml:space="preserve">☐ Hasil kerja dan karya siswa</w:t>
      </w:r>
    </w:p>
    <w:p>
      <w:pPr>
        <w:pStyle w:val="Compact"/>
        <w:numPr>
          <w:ilvl w:val="0"/>
          <w:numId w:val="1001"/>
        </w:numPr>
      </w:pPr>
      <w:r>
        <w:t xml:space="preserve">☐ Foto-foto aktivitas pembelajaran siswa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