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iwa-kewirausahaan"/>
    <w:p>
      <w:pPr>
        <w:pStyle w:val="Heading1"/>
      </w:pPr>
      <w:r>
        <w:t xml:space="preserve">3.2.3 Jiwa kewirausahaan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Rencana Pengembangan Madrasah (RPM)</w:t>
      </w:r>
    </w:p>
    <w:p>
      <w:pPr>
        <w:pStyle w:val="Compact"/>
        <w:numPr>
          <w:ilvl w:val="0"/>
          <w:numId w:val="1001"/>
        </w:numPr>
      </w:pPr>
      <w:r>
        <w:t xml:space="preserve">☐ Dokumen penanganan permasalahan/kasus</w:t>
      </w:r>
    </w:p>
    <w:p>
      <w:pPr>
        <w:pStyle w:val="Compact"/>
        <w:numPr>
          <w:ilvl w:val="0"/>
          <w:numId w:val="1001"/>
        </w:numPr>
      </w:pPr>
      <w:r>
        <w:t xml:space="preserve">☐ Dokumen hasil kegiatan sekolah</w:t>
      </w:r>
    </w:p>
    <w:p>
      <w:pPr>
        <w:pStyle w:val="Compact"/>
        <w:numPr>
          <w:ilvl w:val="0"/>
          <w:numId w:val="1001"/>
        </w:numPr>
      </w:pPr>
      <w:r>
        <w:t xml:space="preserve">☐ Dokumen hasil kegiatan pengembangan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