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lajar-dari-orang-lain"/>
    <w:p>
      <w:pPr>
        <w:pStyle w:val="Heading1"/>
      </w:pPr>
      <w:r>
        <w:t xml:space="preserve">3.3.1 Belajar dari orang lain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Forum komunikasi dengan lembaga pendidikan lain dan orang tua siswa (foto kegiatan)</w:t>
      </w:r>
    </w:p>
    <w:p>
      <w:pPr>
        <w:pStyle w:val="Compact"/>
        <w:numPr>
          <w:ilvl w:val="0"/>
          <w:numId w:val="1001"/>
        </w:numPr>
      </w:pPr>
      <w:r>
        <w:t xml:space="preserve">☐ Komunitas/forum kegiatan yang diikuti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