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libatan-tokoh-masyarakat"/>
    <w:p>
      <w:pPr>
        <w:pStyle w:val="Heading1"/>
      </w:pPr>
      <w:r>
        <w:t xml:space="preserve">3.4.1 Pelibatan tokoh masyarakat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MoU dengan pihak lain</w:t>
      </w:r>
    </w:p>
    <w:p>
      <w:pPr>
        <w:pStyle w:val="Compact"/>
        <w:numPr>
          <w:ilvl w:val="0"/>
          <w:numId w:val="1001"/>
        </w:numPr>
      </w:pPr>
      <w:r>
        <w:t xml:space="preserve">☐ Dokumen sister school / kemitraan dengan sekolah lain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