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sikap-objektif-konflik-internal"/>
    <w:p>
      <w:pPr>
        <w:pStyle w:val="Heading1"/>
      </w:pPr>
      <w:r>
        <w:t xml:space="preserve">3.4.2 Sikap objektif konflik internal</w:t>
      </w:r>
    </w:p>
    <w:bookmarkStart w:id="20" w:name="daftar-file-yang-perlu-disiapkan"/>
    <w:p>
      <w:pPr>
        <w:pStyle w:val="Heading2"/>
      </w:pPr>
      <w:r>
        <w:t xml:space="preserve">Daftar File yang Perlu Disiapkan</w:t>
      </w:r>
    </w:p>
    <w:p>
      <w:pPr>
        <w:pStyle w:val="Compact"/>
        <w:numPr>
          <w:ilvl w:val="0"/>
          <w:numId w:val="1001"/>
        </w:numPr>
      </w:pPr>
      <w:r>
        <w:t xml:space="preserve">☐ Catatan observasi, wawancara, dan studi dokumen kegiatan/foto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2026-09-14T19:31:53Z</dcterms:created>
  <dcterms:modified xsi:type="dcterms:W3CDTF">2026-09-14T19:31:53Z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