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awasan-dan-laporan"/>
    <w:p>
      <w:pPr>
        <w:pStyle w:val="Heading1"/>
      </w:pPr>
      <w:r>
        <w:t xml:space="preserve">3.5.3 Pengawasan dan laporan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Laporan hasil Evaluasi Program Pengembangan Kewirausahaan</w:t>
      </w:r>
    </w:p>
    <w:p>
      <w:pPr>
        <w:pStyle w:val="Compact"/>
        <w:numPr>
          <w:ilvl w:val="0"/>
          <w:numId w:val="1001"/>
        </w:numPr>
      </w:pPr>
      <w:r>
        <w:t xml:space="preserve">☐ Program Pengembangan Jiwa Kewirausahaan</w:t>
      </w:r>
    </w:p>
    <w:p>
      <w:pPr>
        <w:pStyle w:val="Compact"/>
        <w:numPr>
          <w:ilvl w:val="0"/>
          <w:numId w:val="1001"/>
        </w:numPr>
      </w:pPr>
      <w:r>
        <w:t xml:space="preserve">☐ Program Pengembangan Unit Produksi Kewirausahaan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