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umusan-tujuan-supervisi"/>
    <w:p>
      <w:pPr>
        <w:pStyle w:val="Heading1"/>
      </w:pPr>
      <w:r>
        <w:t xml:space="preserve">4.1.2 Rumusan tujuan supervisi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pengawasan pembelajaran/supervisi pembelajaran</w:t>
      </w:r>
    </w:p>
    <w:p>
      <w:pPr>
        <w:pStyle w:val="Compact"/>
        <w:numPr>
          <w:ilvl w:val="0"/>
          <w:numId w:val="1001"/>
        </w:numPr>
      </w:pPr>
      <w:r>
        <w:t xml:space="preserve">☐ Jadwal pelaksanaan supervisi</w:t>
      </w:r>
    </w:p>
    <w:p>
      <w:pPr>
        <w:pStyle w:val="Compact"/>
        <w:numPr>
          <w:ilvl w:val="0"/>
          <w:numId w:val="1001"/>
        </w:numPr>
      </w:pPr>
      <w:r>
        <w:t xml:space="preserve">☐ Laporan hasil supervisi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