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mantauan-pembelajaran"/>
    <w:p>
      <w:pPr>
        <w:pStyle w:val="Heading1"/>
      </w:pPr>
      <w:r>
        <w:t xml:space="preserve">4.2.2 Pemantauan pembelajaran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Instrumen supervisi pembelajaran</w:t>
      </w:r>
    </w:p>
    <w:p>
      <w:pPr>
        <w:pStyle w:val="Compact"/>
        <w:numPr>
          <w:ilvl w:val="0"/>
          <w:numId w:val="1001"/>
        </w:numPr>
      </w:pPr>
      <w:r>
        <w:t xml:space="preserve">☐ Laporan hasil supervisi pembelajaran</w:t>
      </w:r>
    </w:p>
    <w:p>
      <w:pPr>
        <w:pStyle w:val="Compact"/>
        <w:numPr>
          <w:ilvl w:val="0"/>
          <w:numId w:val="1001"/>
        </w:numPr>
      </w:pPr>
      <w:r>
        <w:t xml:space="preserve">☐ Catatan rekomendasi hasil supervisi</w:t>
      </w:r>
    </w:p>
    <w:p>
      <w:pPr>
        <w:pStyle w:val="Compact"/>
        <w:numPr>
          <w:ilvl w:val="0"/>
          <w:numId w:val="1001"/>
        </w:numPr>
      </w:pPr>
      <w:r>
        <w:t xml:space="preserve">☐ Rencana tindak lanjut hasil supervisi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2026-09-14T19:31:58Z</dcterms:created>
  <dcterms:modified xsi:type="dcterms:W3CDTF">2026-09-14T19:31:58Z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