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mbinaan-dan-pengembangan-guru"/>
    <w:p>
      <w:pPr>
        <w:pStyle w:val="Heading1"/>
      </w:pPr>
      <w:r>
        <w:t xml:space="preserve">4.3.3 Pembinaan dan pengembangan guru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Laporan tindak lanjut supervisi</w:t>
      </w:r>
    </w:p>
    <w:p>
      <w:pPr>
        <w:pStyle w:val="Compact"/>
        <w:numPr>
          <w:ilvl w:val="0"/>
          <w:numId w:val="1001"/>
        </w:numPr>
      </w:pPr>
      <w:r>
        <w:t xml:space="preserve">☐ Program PKB guru</w:t>
      </w:r>
    </w:p>
    <w:p>
      <w:pPr>
        <w:pStyle w:val="Compact"/>
        <w:numPr>
          <w:ilvl w:val="0"/>
          <w:numId w:val="1001"/>
        </w:numPr>
      </w:pPr>
      <w:r>
        <w:t xml:space="preserve">☐ Laporan kegiatan pembinaan guru</w:t>
      </w:r>
    </w:p>
    <w:p>
      <w:pPr>
        <w:pStyle w:val="Compact"/>
        <w:numPr>
          <w:ilvl w:val="0"/>
          <w:numId w:val="1001"/>
        </w:numPr>
      </w:pPr>
      <w:r>
        <w:t xml:space="preserve">☐ Daftar hadir, notulen, foto kegiatan PKB guru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