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emetaan-ketercapaian-program"/>
    <w:p>
      <w:pPr>
        <w:pStyle w:val="Heading1"/>
      </w:pPr>
      <w:r>
        <w:t xml:space="preserve">4.3.4 Pemetaan ketercapaian program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Program PKB guru</w:t>
      </w:r>
    </w:p>
    <w:p>
      <w:pPr>
        <w:pStyle w:val="Compact"/>
        <w:numPr>
          <w:ilvl w:val="0"/>
          <w:numId w:val="1001"/>
        </w:numPr>
      </w:pPr>
      <w:r>
        <w:t xml:space="preserve">☐ Laporan kegiatan pembinaan guru</w:t>
      </w:r>
    </w:p>
    <w:p>
      <w:pPr>
        <w:pStyle w:val="Compact"/>
        <w:numPr>
          <w:ilvl w:val="0"/>
          <w:numId w:val="1001"/>
        </w:numPr>
      </w:pPr>
      <w:r>
        <w:t xml:space="preserve">☐ Daftar hadir, notulen, foto kegiatan PKB guru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2026-09-14T19:31:58Z</dcterms:created>
  <dcterms:modified xsi:type="dcterms:W3CDTF">2026-09-14T19:31:58Z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