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estasi-non-akademik"/>
    <w:p>
      <w:pPr>
        <w:pStyle w:val="Heading1"/>
      </w:pPr>
      <w:r>
        <w:t xml:space="preserve">5.1.2 Prestasi non akademik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non akademik tingkat kecamatan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non akademik tingkat kabupaten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non akademik tingkat provinsi</w:t>
      </w:r>
    </w:p>
    <w:p>
      <w:pPr>
        <w:pStyle w:val="Compact"/>
        <w:numPr>
          <w:ilvl w:val="0"/>
          <w:numId w:val="1001"/>
        </w:numPr>
      </w:pPr>
      <w:r>
        <w:t xml:space="preserve">☐ Piagam/sertifikat kejuaraan non akademik tingkat nasional (sesuai capaian)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