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tasi-non-akademik-ptk"/>
    <w:p>
      <w:pPr>
        <w:pStyle w:val="Heading1"/>
      </w:pPr>
      <w:r>
        <w:t xml:space="preserve">5.2.2 Prestasi non akademik PTK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non akademik PTK tingkat kecamatan/kabupaten/provinsi/nasional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