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elebihan-prestasi-akademik"/>
    <w:p>
      <w:pPr>
        <w:pStyle w:val="Heading1"/>
      </w:pPr>
      <w:r>
        <w:t xml:space="preserve">5.3.1 Kelebihan prestasi akademik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Bukti peringkat madrasah bidang akademik tingkat kecamatan/kabupaten/provinsi/nasional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