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1" w:name="kelebihan-prestasi-non-akademik"/>
    <w:p>
      <w:pPr>
        <w:pStyle w:val="Heading1"/>
      </w:pPr>
      <w:r>
        <w:t xml:space="preserve">5.3.2 Kelebihan prestasi non akademik</w:t>
      </w:r>
    </w:p>
    <w:bookmarkStart w:id="20" w:name="daftar-file-yang-perlu-disiapkan"/>
    <w:p>
      <w:pPr>
        <w:pStyle w:val="Heading2"/>
      </w:pPr>
      <w:r>
        <w:t xml:space="preserve">Daftar File yang Perlu Disiapkan</w:t>
      </w:r>
    </w:p>
    <w:p>
      <w:pPr>
        <w:pStyle w:val="Compact"/>
        <w:numPr>
          <w:ilvl w:val="0"/>
          <w:numId w:val="1001"/>
        </w:numPr>
      </w:pPr>
      <w:r>
        <w:t xml:space="preserve">☐ Bukti peringkat madrasah bidang non akademik tingkat kecamatan/kabupaten/provinsi/nasional</w:t>
      </w:r>
    </w:p>
    <w:bookmarkEnd w:id="20"/>
    <w:bookmarkEnd w:id="21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0000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color w:val="345A8A"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Cs/>
      <w:i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 Text"/>
    <w:next w:val="Footnote 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2026-09-14T19:31:55Z</dcterms:created>
  <dcterms:modified xsi:type="dcterms:W3CDTF">2026-09-14T19:31:55Z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