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estasi-ptk-akademik-non-akademik"/>
    <w:p>
      <w:pPr>
        <w:pStyle w:val="Heading1"/>
      </w:pPr>
      <w:r>
        <w:t xml:space="preserve">5.3.3 Prestasi PTK akademik non akademik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Bukti peringkat prestasi akademik dan non akademik PTK tingkat kecamatan/kabupaten/provinsi/nasional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