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E429" w14:textId="77777777" w:rsidR="00CC131A" w:rsidRPr="006849DA" w:rsidRDefault="00CC131A" w:rsidP="006849DA">
      <w:pPr>
        <w:jc w:val="center"/>
        <w:rPr>
          <w:b/>
          <w:bCs/>
        </w:rPr>
      </w:pPr>
      <w:r w:rsidRPr="006849DA">
        <w:rPr>
          <w:b/>
          <w:bCs/>
        </w:rPr>
        <w:t>Research Question</w:t>
      </w:r>
    </w:p>
    <w:p w14:paraId="1188E6E4" w14:textId="77777777" w:rsidR="00CC131A" w:rsidRDefault="00CC131A"/>
    <w:p w14:paraId="64181312" w14:textId="77D9E4C6" w:rsidR="00CC131A" w:rsidRDefault="00CC131A" w:rsidP="006849DA">
      <w:r>
        <w:t>Primary Research Question</w:t>
      </w:r>
    </w:p>
    <w:p w14:paraId="0AA07FD2" w14:textId="6063229D" w:rsidR="00CC131A" w:rsidRDefault="00CC131A">
      <w:r>
        <w:t>In adult inpatients receiving vancomycin, does the integration of a deep learning-based two-compartment pharmacokinetic model (PKRNN-2CM), trained on both peak and trough concentration data, significantly improve the proportion of patients achieving the therapeutic AUC/MIC target of 400-600 compared to a standard trough-only Bayesian dosing approach, when evaluated in a real-world clinical cohort?</w:t>
      </w:r>
    </w:p>
    <w:p w14:paraId="5423E9D6" w14:textId="77777777" w:rsidR="00CC131A" w:rsidRDefault="00CC131A"/>
    <w:p w14:paraId="78BB212E" w14:textId="59D4A089" w:rsidR="00DA12F4" w:rsidRDefault="00DA12F4" w:rsidP="00DA12F4">
      <w:r>
        <w:t>Secondary Research Questions</w:t>
      </w:r>
    </w:p>
    <w:p w14:paraId="3DF4DDB8" w14:textId="77777777" w:rsidR="00DA12F4" w:rsidRDefault="00DA12F4">
      <w:r>
        <w:t>1. Prediction Accuracy: Does the PKRNN-2CM model demonstrate superior prediction accuracy (lower bias and imprecision) for vancomycin concentrations compared to standard Bayesian trough-only dosing?</w:t>
      </w:r>
    </w:p>
    <w:p w14:paraId="75EAA6FE" w14:textId="77777777" w:rsidR="00DA12F4" w:rsidRDefault="00DA12F4">
      <w:r>
        <w:t>2. Clinical Impact: Does PKRNN-2CM-guided dosing reduce the time to therapeutic target attainment and the incidence of vancomycin-induced nephrotoxicity?</w:t>
      </w:r>
    </w:p>
    <w:p w14:paraId="46156598" w14:textId="77777777" w:rsidR="00DA12F4" w:rsidRDefault="00DA12F4">
      <w:r>
        <w:t>3. Role of Peak Measurements: Does incorporating peak-level measurements significantly improve the performance of the PKRNN-2CM model compared to using trough-only measurements?</w:t>
      </w:r>
    </w:p>
    <w:p w14:paraId="3DE753DB" w14:textId="77777777" w:rsidR="00DA12F4" w:rsidRDefault="00DA12F4">
      <w:r>
        <w:t>4. Clinical Pharmacy Translation: What are the implementation barriers, workflow requirements, and educational needs for clinical pharmacists to effectively use digital twin-guided vancomycin TDM in routine practice?</w:t>
      </w:r>
    </w:p>
    <w:p w14:paraId="12D3FB08" w14:textId="77777777" w:rsidR="00DA12F4" w:rsidRDefault="00DA12F4"/>
    <w:p w14:paraId="4ED59729" w14:textId="77777777" w:rsidR="00DA12F4" w:rsidRDefault="00DA12F4"/>
    <w:p w14:paraId="015F3992" w14:textId="77777777" w:rsidR="00DA12F4" w:rsidRDefault="00DA12F4"/>
    <w:p w14:paraId="7B30731E" w14:textId="6C08F734" w:rsidR="000A5D45" w:rsidRPr="00261601" w:rsidRDefault="000A5D45" w:rsidP="00261601">
      <w:pPr>
        <w:jc w:val="center"/>
        <w:rPr>
          <w:b/>
          <w:bCs/>
        </w:rPr>
      </w:pPr>
      <w:r w:rsidRPr="00261601">
        <w:rPr>
          <w:b/>
          <w:bCs/>
        </w:rPr>
        <w:t>Background</w:t>
      </w:r>
    </w:p>
    <w:p w14:paraId="618C51B4" w14:textId="015E1A23" w:rsidR="000A5D45" w:rsidRDefault="000A5D45" w:rsidP="00261601">
      <w:r>
        <w:t>Vancomycin Therapeutic Drug Monitoring: Current Challenges and the Promise of Digital Twin Technology.</w:t>
      </w:r>
    </w:p>
    <w:p w14:paraId="55D5B562" w14:textId="7C6C3880" w:rsidR="002C3D2B" w:rsidRDefault="002C3D2B" w:rsidP="002C3D2B">
      <w:pPr>
        <w:pStyle w:val="ListParagraph"/>
        <w:numPr>
          <w:ilvl w:val="0"/>
          <w:numId w:val="1"/>
        </w:numPr>
      </w:pPr>
      <w:r>
        <w:t>The Clinical Significance of Vancomycin</w:t>
      </w:r>
    </w:p>
    <w:p w14:paraId="4333A7F4" w14:textId="39380479" w:rsidR="002C3D2B" w:rsidRDefault="002C3D2B" w:rsidP="002C3D2B">
      <w:r>
        <w:t xml:space="preserve">Vancomycin is a glycopeptide antibiotic that remains a cornerstone in the management of serious gram-positive infections, particularly methicillin-resistant Staphylococcus aureus (MRSA). Despite being in clinical use for over six decades, vancomycin continues to be a first-line agent for healthcare-associated pneumonia, complicated skin and soft tissue infections, and bloodstream infections caused by resistant </w:t>
      </w:r>
      <w:r>
        <w:lastRenderedPageBreak/>
        <w:t>organisms (Rybak et al., 2020). The widespread use of vancomycin in hospital settings, particularly in intensive care units, underscores its indispensable role in modern antimicrobial therapy.</w:t>
      </w:r>
    </w:p>
    <w:p w14:paraId="2FBF0BF8" w14:textId="77777777" w:rsidR="002C3D2B" w:rsidRDefault="002C3D2B">
      <w:r>
        <w:t>However, vancomycin presents significant therapeutic challenges due to its narrow therapeutic index, where the margin between subtherapeutic and toxic concentrations is remarkably small. Subtherapeutic exposure leads to treatment failure, prolonged hospitalization, and the emergence of antimicrobial resistance, while supratherapeutic exposure is associated with nephrotoxicity (acute kidney injury) and ototoxicity (Avent et al., 2013). The risk of vancomycin-induced nephrotoxicity has been reported in 5-43% of patients, with higher rates observed in critically ill populations and those receiving concomitant nephrotoxic agents (Narayan et al., 2021).</w:t>
      </w:r>
    </w:p>
    <w:p w14:paraId="4F3AE8C8" w14:textId="77777777" w:rsidR="002C3D2B" w:rsidRDefault="002C3D2B"/>
    <w:p w14:paraId="21A6F1B0" w14:textId="53AEB9BE" w:rsidR="002C3D2B" w:rsidRDefault="002C3D2B" w:rsidP="002C3D2B">
      <w:pPr>
        <w:pStyle w:val="ListParagraph"/>
        <w:numPr>
          <w:ilvl w:val="0"/>
          <w:numId w:val="1"/>
        </w:numPr>
      </w:pPr>
      <w:r>
        <w:t>Pharmacokinetic Variability: The Core Challenge</w:t>
      </w:r>
    </w:p>
    <w:p w14:paraId="41CA410A" w14:textId="08654FDE" w:rsidR="002C3D2B" w:rsidRDefault="002C3D2B" w:rsidP="002C3D2B">
      <w:r>
        <w:t>The pharmacokinetics (PK) of vancomycin is characterized by substantial inter-patient and intra-patient variability, making population-based dosing approaches inherently inadequate. Multiple factors contribute to this variability:</w:t>
      </w:r>
    </w:p>
    <w:p w14:paraId="072DF9EC" w14:textId="77777777" w:rsidR="002C3D2B" w:rsidRDefault="002C3D2B">
      <w:r>
        <w:t>· Renal function: Vancomycin is predominantly eliminated via glomerular filtration. Changes in renal function—whether acute kidney injury, chronic kidney disease, or augmented renal clearance in critically ill patients—directly impact drug clearance and exposure (Narayan et al., 2021).</w:t>
      </w:r>
    </w:p>
    <w:p w14:paraId="09D98BAF" w14:textId="77777777" w:rsidR="002C3D2B" w:rsidRDefault="002C3D2B">
      <w:r>
        <w:t>· Patient demographics: Age, weight, body composition, and sex influence vancomycin volume of distribution and clearance.</w:t>
      </w:r>
    </w:p>
    <w:p w14:paraId="79D06DD8" w14:textId="77777777" w:rsidR="002C3D2B" w:rsidRDefault="002C3D2B">
      <w:r>
        <w:t>· Critical illness: In ICU patients, altered fluid status, capillary leak, organ dysfunction, and vasopressor support significantly affect vancomycin PK (Cheng et al., 2022).</w:t>
      </w:r>
    </w:p>
    <w:p w14:paraId="4C12FD4A" w14:textId="77777777" w:rsidR="002C3D2B" w:rsidRDefault="002C3D2B">
      <w:r>
        <w:t>· Concomitant medications: Drug-drug interactions, particularly with nephrotoxic agents (e.g., aminoglycosides, loop diuretics, contrast media), can alter vancomycin clearance and toxicity risk.</w:t>
      </w:r>
    </w:p>
    <w:p w14:paraId="058DC477" w14:textId="121E6E2F" w:rsidR="002C3D2B" w:rsidRDefault="002C3D2B" w:rsidP="002C3D2B">
      <w:r>
        <w:t>· Genetic factors: Polymorphisms in genes affecting drug transport and metabolism may contribute to PK variability, though this area requires further investigation.</w:t>
      </w:r>
    </w:p>
    <w:p w14:paraId="2AB6C4F3" w14:textId="77777777" w:rsidR="002C3D2B" w:rsidRDefault="002C3D2B">
      <w:r>
        <w:t>This pronounced variability means that standard fixed-dose regimens or weight-based dosing fail to achieve therapeutic targets in a substantial proportion of patients, leading to the necessity of therapeutic drug monitoring (TDM) as the standard of care.</w:t>
      </w:r>
    </w:p>
    <w:p w14:paraId="40AE6F33" w14:textId="77777777" w:rsidR="002C3D2B" w:rsidRDefault="002C3D2B"/>
    <w:p w14:paraId="7EECD7F5" w14:textId="4084F9F9" w:rsidR="002C3D2B" w:rsidRDefault="002C3D2B" w:rsidP="002C3D2B">
      <w:pPr>
        <w:pStyle w:val="ListParagraph"/>
        <w:numPr>
          <w:ilvl w:val="0"/>
          <w:numId w:val="1"/>
        </w:numPr>
      </w:pPr>
      <w:r>
        <w:t>Current Standards in Vancomycin Therapeutic Drug Monitoring</w:t>
      </w:r>
    </w:p>
    <w:p w14:paraId="5F25C970" w14:textId="77777777" w:rsidR="002C3D2B" w:rsidRDefault="002C3D2B"/>
    <w:p w14:paraId="6F1A1405" w14:textId="072F0D9D" w:rsidR="002C3D2B" w:rsidRDefault="002C3D2B" w:rsidP="002C3D2B">
      <w:pPr>
        <w:pStyle w:val="ListParagraph"/>
        <w:numPr>
          <w:ilvl w:val="1"/>
          <w:numId w:val="1"/>
        </w:numPr>
      </w:pPr>
      <w:r>
        <w:lastRenderedPageBreak/>
        <w:t>Guideline-Recommended Approach</w:t>
      </w:r>
    </w:p>
    <w:p w14:paraId="567EEAB1" w14:textId="77777777" w:rsidR="002C3D2B" w:rsidRDefault="002C3D2B">
      <w:r>
        <w:t>The most recent consensus guidelines from the American Society of Health-System Pharmacists (ASHP), the Infectious Diseases Society of America (IDSA), and other professional societies recommend AUC-guided monitoring for vancomycin (Rybak et al., 2020). Specifically, the guidelines recommend achieving an AUC/MIC ratio of 400 to 600 (assuming a MIC of 1 mg/L) for the treatment of serious MRSA infections. This target is associated with optimal clinical efficacy and minimized nephrotoxicity risk.</w:t>
      </w:r>
    </w:p>
    <w:p w14:paraId="5DFE7146" w14:textId="77777777" w:rsidR="002C3D2B" w:rsidRDefault="002C3D2B"/>
    <w:p w14:paraId="616FBD0D" w14:textId="132FD34A" w:rsidR="002C3D2B" w:rsidRDefault="002C3D2B" w:rsidP="002C3D2B">
      <w:pPr>
        <w:pStyle w:val="ListParagraph"/>
        <w:numPr>
          <w:ilvl w:val="1"/>
          <w:numId w:val="1"/>
        </w:numPr>
      </w:pPr>
      <w:r>
        <w:t>Bayesian Estimation and Population PK Models</w:t>
      </w:r>
    </w:p>
    <w:p w14:paraId="16B48F44" w14:textId="77777777" w:rsidR="002C3D2B" w:rsidRDefault="002C3D2B">
      <w:r>
        <w:t>Current clinical practice relies heavily on Bayesian forecasting methods integrated with population pharmacokinetic (popPK) models. These approaches:</w:t>
      </w:r>
    </w:p>
    <w:p w14:paraId="27E8DAA1" w14:textId="77777777" w:rsidR="002C3D2B" w:rsidRDefault="002C3D2B"/>
    <w:p w14:paraId="2B180B6F" w14:textId="77777777" w:rsidR="002C3D2B" w:rsidRDefault="002C3D2B">
      <w:r>
        <w:t>· Use prior population PK parameters derived from large cohorts.</w:t>
      </w:r>
    </w:p>
    <w:p w14:paraId="547B7CF6" w14:textId="77777777" w:rsidR="002C3D2B" w:rsidRDefault="002C3D2B">
      <w:r>
        <w:t>· Update estimates using patient-specific covariates (e.g., age, weight, serum creatinine).</w:t>
      </w:r>
    </w:p>
    <w:p w14:paraId="2075C8D4" w14:textId="77777777" w:rsidR="002C3D2B" w:rsidRDefault="002C3D2B">
      <w:r>
        <w:t>· Incorporate measured drug concentrations (typically trough levels) to refine individual PK parameters.</w:t>
      </w:r>
    </w:p>
    <w:p w14:paraId="61A63039" w14:textId="77777777" w:rsidR="002C3D2B" w:rsidRDefault="002C3D2B">
      <w:r>
        <w:t>· Generate posterior predictions of drug exposure and dose recommendations.</w:t>
      </w:r>
    </w:p>
    <w:p w14:paraId="3F94F84A" w14:textId="77777777" w:rsidR="002C3D2B" w:rsidRDefault="002C3D2B"/>
    <w:p w14:paraId="5105F2D8" w14:textId="77777777" w:rsidR="002C3D2B" w:rsidRDefault="002C3D2B">
      <w:r>
        <w:t>While Bayesian methods represent a significant advancement over empiric dosing, they have important limitations that constrain their utility in real-world clinical practice (Darwich et al., 2017; Minichmayr et al., 2024).</w:t>
      </w:r>
    </w:p>
    <w:p w14:paraId="6C4218A4" w14:textId="77777777" w:rsidR="002C3D2B" w:rsidRDefault="002C3D2B"/>
    <w:p w14:paraId="3B8B7415" w14:textId="5604B2D2" w:rsidR="002C3D2B" w:rsidRDefault="002C3D2B" w:rsidP="002C3D2B">
      <w:r>
        <w:t xml:space="preserve">        3.3 Limitations of Current Approaches</w:t>
      </w:r>
    </w:p>
    <w:p w14:paraId="6FF114DB" w14:textId="77777777" w:rsidR="002C3D2B" w:rsidRDefault="002C3D2B">
      <w:r>
        <w:t>First, most Bayesian models use a one-compartment PK model that assumes the drug distributes instantaneously and uniformly throughout the body. However, vancomycin exhibits biphasic distribution—a rapid initial distribution phase followed by a slower elimination phase—which is better described by a two-compartment model (Shingde et al., 2019). While two-compartment models have demonstrated superior predictive accuracy, particularly when non-trough measurements are available, they remain underutilized in clinical practice due to their complexity and the historical reliance on trough-based monitoring (Mao et al., 2026; Pryka et al., 1989).</w:t>
      </w:r>
    </w:p>
    <w:p w14:paraId="0EB9FD7D" w14:textId="77777777" w:rsidR="002C3D2B" w:rsidRDefault="002C3D2B"/>
    <w:p w14:paraId="103E557E" w14:textId="77777777" w:rsidR="002C3D2B" w:rsidRDefault="002C3D2B">
      <w:r>
        <w:lastRenderedPageBreak/>
        <w:t>Second, the traditional reliance on trough-only monitoring represents a significant limitation. Trough concentrations alone provide limited information about the full concentration-time profile, particularly the peak concentration and the shape of the distribution phase. Studies have shown that two-compartment models require peak-level measurements to achieve their full predictive potential, and the performance gap between one- and two-compartment models widens significantly when non-trough data are available (Shingde et al., 2019; Mao et al., 2026).</w:t>
      </w:r>
    </w:p>
    <w:p w14:paraId="42627546" w14:textId="77777777" w:rsidR="002C3D2B" w:rsidRDefault="002C3D2B"/>
    <w:p w14:paraId="5639E89A" w14:textId="77777777" w:rsidR="002C3D2B" w:rsidRDefault="002C3D2B">
      <w:r>
        <w:t>Third, current Bayesian models are static or episodically updated, relying on periodic TDM measurements rather than continuously incorporating new clinical data. They cannot adapt to dynamic physiological changes such as acute kidney injury, fluid shifts, or the resolution of sepsis, which may occur between monitoring intervals (Narayan et al., 2021).</w:t>
      </w:r>
    </w:p>
    <w:p w14:paraId="069D448D" w14:textId="77777777" w:rsidR="002C3D2B" w:rsidRDefault="002C3D2B"/>
    <w:p w14:paraId="5A5B7837" w14:textId="77777777" w:rsidR="002C3D2B" w:rsidRDefault="002C3D2B">
      <w:r>
        <w:t>Fourth, these models incorporate a limited number of patient-specific features, typically including only age, weight, sex, and serum creatinine. They do not leverage the wealth of data available in modern electronic health records (EHRs), such as longitudinal laboratory values, vital signs, medication administration records, and clinical events that may affect drug disposition (Nigo et al., 2022).</w:t>
      </w:r>
    </w:p>
    <w:p w14:paraId="021FA928" w14:textId="77777777" w:rsidR="002C3D2B" w:rsidRDefault="002C3D2B"/>
    <w:p w14:paraId="13A90879" w14:textId="77777777" w:rsidR="002C3D2B" w:rsidRDefault="002C3D2B">
      <w:r>
        <w:t>Fifth, Bayesian models generally rely on population priors derived from historical cohorts that may not represent the heterogeneity of contemporary patient populations, particularly critically ill patients, patients with obesity, or those with renal impairment (Narayan et al., 2021).</w:t>
      </w:r>
    </w:p>
    <w:p w14:paraId="56B6D27D" w14:textId="77777777" w:rsidR="002C3D2B" w:rsidRDefault="002C3D2B"/>
    <w:p w14:paraId="3EB5EFA9" w14:textId="7DE8880A" w:rsidR="002C3D2B" w:rsidRDefault="002C3D2B" w:rsidP="002C3D2B">
      <w:pPr>
        <w:pStyle w:val="ListParagraph"/>
        <w:numPr>
          <w:ilvl w:val="0"/>
          <w:numId w:val="1"/>
        </w:numPr>
      </w:pPr>
      <w:r>
        <w:t>The Emerging Paradigm: Digital Twins and Deep Learning</w:t>
      </w:r>
    </w:p>
    <w:p w14:paraId="64B7EF99" w14:textId="77777777" w:rsidR="002C3D2B" w:rsidRDefault="002C3D2B"/>
    <w:p w14:paraId="7A2D3441" w14:textId="5D3FC43B" w:rsidR="002C3D2B" w:rsidRDefault="002C3D2B" w:rsidP="002C3D2B">
      <w:pPr>
        <w:pStyle w:val="ListParagraph"/>
        <w:numPr>
          <w:ilvl w:val="1"/>
          <w:numId w:val="1"/>
        </w:numPr>
      </w:pPr>
      <w:r>
        <w:t>Defining the Digital Twin Concept</w:t>
      </w:r>
    </w:p>
    <w:p w14:paraId="333A8FD5" w14:textId="77777777" w:rsidR="002C3D2B" w:rsidRDefault="002C3D2B">
      <w:r>
        <w:t>The concept of a digital twin—originally developed in engineering and manufacturing—has recently been adapted to healthcare as dynamic computational models that represent individual patients (Sadee et al., 2025; Zhang et al., 2024). A medical digital twin is characterized by:</w:t>
      </w:r>
    </w:p>
    <w:p w14:paraId="68ACBFB5" w14:textId="77777777" w:rsidR="002C3D2B" w:rsidRDefault="002C3D2B"/>
    <w:p w14:paraId="46438115" w14:textId="77777777" w:rsidR="002C3D2B" w:rsidRDefault="002C3D2B">
      <w:r>
        <w:t>· Patient-specificity: The model is uniquely parameterized for an individual patient.</w:t>
      </w:r>
    </w:p>
    <w:p w14:paraId="26BBE5E9" w14:textId="77777777" w:rsidR="002C3D2B" w:rsidRDefault="002C3D2B">
      <w:r>
        <w:lastRenderedPageBreak/>
        <w:t>· Dynamic updating: The model is continuously recalibrated with incoming real-time clinical data.</w:t>
      </w:r>
    </w:p>
    <w:p w14:paraId="116FE8F9" w14:textId="77777777" w:rsidR="002C3D2B" w:rsidRDefault="002C3D2B">
      <w:r>
        <w:t>· Bidirectional information flow: Patient data update the model, and the model provides predictions to inform clinical decisions.</w:t>
      </w:r>
    </w:p>
    <w:p w14:paraId="0D495D52" w14:textId="19F9B743" w:rsidR="002C3D2B" w:rsidRDefault="002C3D2B">
      <w:r>
        <w:t>· Prospective simulation: The ability to test “what-if” scenarios and predict outcomes of alternative interventions.</w:t>
      </w:r>
    </w:p>
    <w:p w14:paraId="528DC37E" w14:textId="77777777" w:rsidR="002C3D2B" w:rsidRDefault="002C3D2B"/>
    <w:p w14:paraId="23919529" w14:textId="77777777" w:rsidR="002C3D2B" w:rsidRDefault="002C3D2B">
      <w:r>
        <w:t>In pharmacotherapy, a digital twin integrates pharmacokinetic/pharmacodynamic (PK/PD) models with longitudinal clinical, laboratory, and genomic data to make dynamic predictions about drug response and toxicity at the individual patient level (Woillard et al., 2026; Jarab et al., 2026).</w:t>
      </w:r>
    </w:p>
    <w:p w14:paraId="23141E50" w14:textId="77777777" w:rsidR="002C3D2B" w:rsidRDefault="002C3D2B"/>
    <w:p w14:paraId="6619678F" w14:textId="4C929634" w:rsidR="002C3D2B" w:rsidRDefault="002C3D2B" w:rsidP="002C3D2B">
      <w:pPr>
        <w:pStyle w:val="ListParagraph"/>
        <w:numPr>
          <w:ilvl w:val="1"/>
          <w:numId w:val="1"/>
        </w:numPr>
      </w:pPr>
      <w:r>
        <w:t>Digital Twins in Antibiotic Therapy</w:t>
      </w:r>
    </w:p>
    <w:p w14:paraId="77A6C66B" w14:textId="77777777" w:rsidR="002C3D2B" w:rsidRDefault="002C3D2B">
      <w:r>
        <w:t>Recent work has demonstrated the feasibility of digital twin frameworks for optimizing antibiotic therapy. Prunella et al. (2026) developed an evolutionary digital twin framework for aminoglycoside dosing in neonates, integrating a physiologically-based pharmacokinetic (PBPK) model with an eco-evolutionary pharmacodynamic module. This framework incorporated a long short-term memory (LSTM) neural network to predict renal function trajectories, enabling continuous model updating and adaptive therapy optimization. The study demonstrated that digital twin-guided dosing improved bacterial clearance and resistance suppression compared to standard regimens.</w:t>
      </w:r>
    </w:p>
    <w:p w14:paraId="5416DF2C" w14:textId="77777777" w:rsidR="002C3D2B" w:rsidRDefault="002C3D2B"/>
    <w:p w14:paraId="0C7C6ED5" w14:textId="77777777" w:rsidR="002C3D2B" w:rsidRDefault="002C3D2B">
      <w:r>
        <w:t>Similarly, Woillard et al. (2026) proposed the concept of digital pharmacological twins that integrate multi-scale modeling and artificial intelligence for precision medicine, highlighting the potential of these approaches to transform drug development and clinical pharmacotherapy.</w:t>
      </w:r>
    </w:p>
    <w:p w14:paraId="1CB49EAC" w14:textId="77777777" w:rsidR="002C3D2B" w:rsidRDefault="002C3D2B"/>
    <w:p w14:paraId="5837F64A" w14:textId="2236553C" w:rsidR="002C3D2B" w:rsidRDefault="002C3D2B">
      <w:r>
        <w:t xml:space="preserve">          4.3 The PKRNN Approach: Deep Learning for Vancomycin TDM</w:t>
      </w:r>
    </w:p>
    <w:p w14:paraId="75F04B7F" w14:textId="77777777" w:rsidR="002C3D2B" w:rsidRDefault="002C3D2B"/>
    <w:p w14:paraId="1E8D4671" w14:textId="77777777" w:rsidR="002C3D2B" w:rsidRDefault="002C3D2B">
      <w:r>
        <w:t>Building on these principles, Nigo et al. (2022) introduced the Pharmacokinetic Recurrent Neural Network (PKRNN) , a deep learning model for vancomycin TDM that:</w:t>
      </w:r>
    </w:p>
    <w:p w14:paraId="2CD427E8" w14:textId="77777777" w:rsidR="002C3D2B" w:rsidRDefault="002C3D2B"/>
    <w:p w14:paraId="620BB45D" w14:textId="77777777" w:rsidR="002C3D2B" w:rsidRDefault="002C3D2B">
      <w:r>
        <w:t>· Uses recurrent neural networks (RNNs) to model time-series EHR data.</w:t>
      </w:r>
    </w:p>
    <w:p w14:paraId="76133FC1" w14:textId="77777777" w:rsidR="002C3D2B" w:rsidRDefault="002C3D2B">
      <w:r>
        <w:lastRenderedPageBreak/>
        <w:t>· Predicts individualized PK parameters from a broad range of patient features.</w:t>
      </w:r>
    </w:p>
    <w:p w14:paraId="5B81C580" w14:textId="77777777" w:rsidR="002C3D2B" w:rsidRDefault="002C3D2B">
      <w:r>
        <w:t>· Integrates a one-compartment PK model to predict vancomycin concentrations at any time point.</w:t>
      </w:r>
    </w:p>
    <w:p w14:paraId="1C82990B" w14:textId="77777777" w:rsidR="002C3D2B" w:rsidRDefault="002C3D2B">
      <w:r>
        <w:t>· Provides real-time predictions without manual input, automatically adjusting to changes in patient status.</w:t>
      </w:r>
    </w:p>
    <w:p w14:paraId="5935F0CB" w14:textId="77777777" w:rsidR="002C3D2B" w:rsidRDefault="002C3D2B"/>
    <w:p w14:paraId="056385A0" w14:textId="77777777" w:rsidR="002C3D2B" w:rsidRDefault="002C3D2B">
      <w:r>
        <w:t>The PKRNN model demonstrated superior performance compared to Bayesian approaches, highlighting the potential of deep learning for personalized TDM.</w:t>
      </w:r>
    </w:p>
    <w:p w14:paraId="5609F17D" w14:textId="77777777" w:rsidR="002C3D2B" w:rsidRDefault="002C3D2B"/>
    <w:p w14:paraId="5968C2EC" w14:textId="2F592FCD" w:rsidR="002C3D2B" w:rsidRDefault="002C3D2B" w:rsidP="002C3D2B">
      <w:pPr>
        <w:pStyle w:val="ListParagraph"/>
        <w:numPr>
          <w:ilvl w:val="1"/>
          <w:numId w:val="1"/>
        </w:numPr>
      </w:pPr>
      <w:r>
        <w:t>Extending to Two-Compartment Models</w:t>
      </w:r>
    </w:p>
    <w:p w14:paraId="230AB120" w14:textId="77777777" w:rsidR="002C3D2B" w:rsidRDefault="002C3D2B">
      <w:r>
        <w:t>Recognizing the limitations of one-compartment models, Mao et al. (2026) extended the PKRNN framework to incorporate a two-compartment PK model (PKRNN-2CM) . The key innovations of PKRNN-2CM include:</w:t>
      </w:r>
    </w:p>
    <w:p w14:paraId="6C39E6D9" w14:textId="77777777" w:rsidR="002C3D2B" w:rsidRDefault="002C3D2B"/>
    <w:p w14:paraId="045A04F4" w14:textId="77777777" w:rsidR="002C3D2B" w:rsidRDefault="002C3D2B">
      <w:r>
        <w:t>· Prediction of four PK parameters (central clearance CL, intercompartmental clearance Q, central volume V1, and peripheral volume V2) rather than just elimination rate and volume.</w:t>
      </w:r>
    </w:p>
    <w:p w14:paraId="0C7CAA55" w14:textId="77777777" w:rsidR="002C3D2B" w:rsidRDefault="002C3D2B">
      <w:r>
        <w:t>· Integration of a two-compartment ODE system to calculate drug concentrations.</w:t>
      </w:r>
    </w:p>
    <w:p w14:paraId="259F405E" w14:textId="77777777" w:rsidR="002C3D2B" w:rsidRDefault="002C3D2B">
      <w:r>
        <w:t>· A simulation framework that demonstrated superior predictive accuracy of PKRNN-2CM over PKRNN-1CM, particularly when peak measurements were available (RMSE: 3.04 vs 4.50 on simulated peak data).</w:t>
      </w:r>
    </w:p>
    <w:p w14:paraId="6975268B" w14:textId="77777777" w:rsidR="002C3D2B" w:rsidRDefault="002C3D2B">
      <w:r>
        <w:t>· Better estimation of AUC/MIC, a more clinically relevant measure than trough concentrations alone.</w:t>
      </w:r>
    </w:p>
    <w:p w14:paraId="4E549EE0" w14:textId="77777777" w:rsidR="002C3D2B" w:rsidRDefault="002C3D2B"/>
    <w:p w14:paraId="1F5FE54C" w14:textId="77777777" w:rsidR="002C3D2B" w:rsidRDefault="002C3D2B">
      <w:r>
        <w:t>However, the evaluation of PKRNN-2CM in real-world clinical settings has been limited, and the model has not been prospectively compared to standard Bayesian dosing approaches in actual clinical practice.</w:t>
      </w:r>
    </w:p>
    <w:p w14:paraId="3CEC59FE" w14:textId="77777777" w:rsidR="002C3D2B" w:rsidRDefault="002C3D2B"/>
    <w:p w14:paraId="524546C1" w14:textId="7DFB06DE" w:rsidR="002C3D2B" w:rsidRDefault="002C3D2B" w:rsidP="002C3D2B">
      <w:pPr>
        <w:pStyle w:val="ListParagraph"/>
        <w:numPr>
          <w:ilvl w:val="0"/>
          <w:numId w:val="1"/>
        </w:numPr>
      </w:pPr>
      <w:r>
        <w:t>The Research Gap</w:t>
      </w:r>
    </w:p>
    <w:p w14:paraId="46B84004" w14:textId="77777777" w:rsidR="002C3D2B" w:rsidRDefault="002C3D2B"/>
    <w:p w14:paraId="257CB47E" w14:textId="77777777" w:rsidR="002C3D2B" w:rsidRDefault="002C3D2B">
      <w:r>
        <w:t>Despite the substantial advances represented by digital twin and deep learning approaches for vancomycin TDM, critical gaps remain that this study aims to address:</w:t>
      </w:r>
    </w:p>
    <w:p w14:paraId="3C2513D9" w14:textId="77777777" w:rsidR="002C3D2B" w:rsidRDefault="002C3D2B"/>
    <w:p w14:paraId="75775002" w14:textId="77777777" w:rsidR="002C3D2B" w:rsidRDefault="002C3D2B">
      <w:r>
        <w:t>First, while the PKRNN-2CM model has been developed and shown promise in simulation studies, its performance has not been rigorously evaluated in a real-world clinical cohort of adult inpatients. The simulation framework used by Mao et al. (2026), although sophisticated, may not fully capture the complexity and heterogeneity of real clinical data, including measurement errors, missing data, and unmeasured confounders.</w:t>
      </w:r>
    </w:p>
    <w:p w14:paraId="7D45574E" w14:textId="77777777" w:rsidR="002C3D2B" w:rsidRDefault="002C3D2B"/>
    <w:p w14:paraId="683351D5" w14:textId="77777777" w:rsidR="002C3D2B" w:rsidRDefault="002C3D2B">
      <w:r>
        <w:t>Second, the specific benefit of incorporating peak-level measurements into a digital twin framework has been demonstrated in simulation but not adequately validated in real clinical practice. In most clinical settings, only trough levels are routinely measured, and the logistical and clinical value of obtaining peak levels remains uncertain.</w:t>
      </w:r>
    </w:p>
    <w:p w14:paraId="13D73405" w14:textId="77777777" w:rsidR="002C3D2B" w:rsidRDefault="002C3D2B"/>
    <w:p w14:paraId="41F35CE9" w14:textId="77777777" w:rsidR="002C3D2B" w:rsidRDefault="002C3D2B">
      <w:r>
        <w:t>Third, the comparison between PKRNN-2CM and standard Bayesian trough-only dosing has been limited. While Mao et al. (2026) compared PKRNN-2CM to a Bayesian vancomycin TDM model in their simulation, a direct comparison in a real-world cohort using clinically relevant outcomes (e.g., proportion achieving AUC/MIC target, prediction error) is lacking.</w:t>
      </w:r>
    </w:p>
    <w:p w14:paraId="30404038" w14:textId="77777777" w:rsidR="002C3D2B" w:rsidRDefault="002C3D2B"/>
    <w:p w14:paraId="2BEC7B90" w14:textId="77777777" w:rsidR="002C3D2B" w:rsidRDefault="002C3D2B">
      <w:r>
        <w:t>Fourth, the role of clinical pharmacists in implementing digital twin-guided vancomycin therapy has not been adequately characterized. Pharmacists are essential for translating model predictions into actionable medication decisions, including dose verification, monitoring recommendations, and documentation of outcomes (Jarab et al., 2026; Silva &amp; Vale, 2025). However, the specific workflows, barriers, and facilitators for pharmacist-led digital twin implementation remain unexplored.</w:t>
      </w:r>
    </w:p>
    <w:p w14:paraId="2A4D0746" w14:textId="77777777" w:rsidR="002C3D2B" w:rsidRDefault="002C3D2B"/>
    <w:p w14:paraId="681CD89A" w14:textId="77777777" w:rsidR="002C3D2B" w:rsidRDefault="002C3D2B">
      <w:r>
        <w:t>Fifth, the implementation barriers for digital twin technology in routine clinical practice—including data interoperability, model validation, explainability, regulatory considerations, and workflow integration—have been identified conceptually but require empirical investigation (Ringeval et al., 2025; Sel et al., 2025).</w:t>
      </w:r>
    </w:p>
    <w:p w14:paraId="04B044BE" w14:textId="096D99C6" w:rsidR="002C3D2B" w:rsidRDefault="002C3D2B"/>
    <w:p w14:paraId="376C97F2" w14:textId="77777777" w:rsidR="00DA12F4" w:rsidRDefault="00DA12F4"/>
    <w:sectPr w:rsidR="00DA1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608EB"/>
    <w:multiLevelType w:val="multilevel"/>
    <w:tmpl w:val="D3F4D84C"/>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9971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31A"/>
    <w:rsid w:val="000A5D45"/>
    <w:rsid w:val="00261601"/>
    <w:rsid w:val="002C3D2B"/>
    <w:rsid w:val="006849DA"/>
    <w:rsid w:val="00AE34AC"/>
    <w:rsid w:val="00B34DDC"/>
    <w:rsid w:val="00CC131A"/>
    <w:rsid w:val="00DA12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6A834BC"/>
  <w15:chartTrackingRefBased/>
  <w15:docId w15:val="{65B5E8B8-C46C-3045-912D-F31388CB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31A"/>
    <w:rPr>
      <w:rFonts w:eastAsiaTheme="majorEastAsia" w:cstheme="majorBidi"/>
      <w:color w:val="272727" w:themeColor="text1" w:themeTint="D8"/>
    </w:rPr>
  </w:style>
  <w:style w:type="paragraph" w:styleId="Title">
    <w:name w:val="Title"/>
    <w:basedOn w:val="Normal"/>
    <w:next w:val="Normal"/>
    <w:link w:val="TitleChar"/>
    <w:uiPriority w:val="10"/>
    <w:qFormat/>
    <w:rsid w:val="00CC1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31A"/>
    <w:pPr>
      <w:spacing w:before="160"/>
      <w:jc w:val="center"/>
    </w:pPr>
    <w:rPr>
      <w:i/>
      <w:iCs/>
      <w:color w:val="404040" w:themeColor="text1" w:themeTint="BF"/>
    </w:rPr>
  </w:style>
  <w:style w:type="character" w:customStyle="1" w:styleId="QuoteChar">
    <w:name w:val="Quote Char"/>
    <w:basedOn w:val="DefaultParagraphFont"/>
    <w:link w:val="Quote"/>
    <w:uiPriority w:val="29"/>
    <w:rsid w:val="00CC131A"/>
    <w:rPr>
      <w:i/>
      <w:iCs/>
      <w:color w:val="404040" w:themeColor="text1" w:themeTint="BF"/>
    </w:rPr>
  </w:style>
  <w:style w:type="paragraph" w:styleId="ListParagraph">
    <w:name w:val="List Paragraph"/>
    <w:basedOn w:val="Normal"/>
    <w:uiPriority w:val="34"/>
    <w:qFormat/>
    <w:rsid w:val="00CC131A"/>
    <w:pPr>
      <w:ind w:left="720"/>
      <w:contextualSpacing/>
    </w:pPr>
  </w:style>
  <w:style w:type="character" w:styleId="IntenseEmphasis">
    <w:name w:val="Intense Emphasis"/>
    <w:basedOn w:val="DefaultParagraphFont"/>
    <w:uiPriority w:val="21"/>
    <w:qFormat/>
    <w:rsid w:val="00CC131A"/>
    <w:rPr>
      <w:i/>
      <w:iCs/>
      <w:color w:val="0F4761" w:themeColor="accent1" w:themeShade="BF"/>
    </w:rPr>
  </w:style>
  <w:style w:type="paragraph" w:styleId="IntenseQuote">
    <w:name w:val="Intense Quote"/>
    <w:basedOn w:val="Normal"/>
    <w:next w:val="Normal"/>
    <w:link w:val="IntenseQuoteChar"/>
    <w:uiPriority w:val="30"/>
    <w:qFormat/>
    <w:rsid w:val="00CC1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31A"/>
    <w:rPr>
      <w:i/>
      <w:iCs/>
      <w:color w:val="0F4761" w:themeColor="accent1" w:themeShade="BF"/>
    </w:rPr>
  </w:style>
  <w:style w:type="character" w:styleId="IntenseReference">
    <w:name w:val="Intense Reference"/>
    <w:basedOn w:val="DefaultParagraphFont"/>
    <w:uiPriority w:val="32"/>
    <w:qFormat/>
    <w:rsid w:val="00CC1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2044</Words>
  <Characters>11651</Characters>
  <Application>Microsoft Office Word</Application>
  <DocSecurity>0</DocSecurity>
  <Lines>97</Lines>
  <Paragraphs>27</Paragraphs>
  <ScaleCrop>false</ScaleCrop>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Mekawy Emam</dc:creator>
  <cp:keywords/>
  <dc:description/>
  <cp:lastModifiedBy>Rana Mekawy Emam</cp:lastModifiedBy>
  <cp:revision>2</cp:revision>
  <dcterms:created xsi:type="dcterms:W3CDTF">2026-08-31T19:07:00Z</dcterms:created>
  <dcterms:modified xsi:type="dcterms:W3CDTF">2026-08-31T19:07:00Z</dcterms:modified>
</cp:coreProperties>
</file>