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BFA71" w14:textId="77777777" w:rsidR="005D1E09" w:rsidRDefault="005D1E09">
      <w:pPr>
        <w:pStyle w:val="Title"/>
        <w:spacing w:after="120"/>
        <w:rPr>
          <w:rFonts w:ascii="Times New Roman" w:hAnsi="Times New Roman" w:cs="Times New Roman"/>
        </w:rPr>
      </w:pPr>
    </w:p>
    <w:p w14:paraId="035B8913" w14:textId="77777777" w:rsidR="005D1E09" w:rsidRDefault="005D1E09">
      <w:pPr>
        <w:pStyle w:val="Title"/>
        <w:spacing w:after="120"/>
        <w:rPr>
          <w:rFonts w:ascii="Times New Roman" w:hAnsi="Times New Roman" w:cs="Times New Roman"/>
        </w:rPr>
      </w:pPr>
    </w:p>
    <w:p w14:paraId="2CA6A6BF" w14:textId="77777777" w:rsidR="005D1E09" w:rsidRDefault="005D1E09">
      <w:pPr>
        <w:pStyle w:val="Title"/>
        <w:spacing w:after="120"/>
        <w:rPr>
          <w:rFonts w:ascii="Times New Roman" w:hAnsi="Times New Roman" w:cs="Times New Roman"/>
        </w:rPr>
      </w:pPr>
    </w:p>
    <w:p w14:paraId="0797F92F" w14:textId="77777777" w:rsidR="00697ADA" w:rsidRDefault="00000000" w:rsidP="00697ADA">
      <w:pPr>
        <w:pStyle w:val="Title"/>
        <w:spacing w:before="0" w:after="120"/>
        <w:rPr>
          <w:rFonts w:ascii="Times New Roman" w:hAnsi="Times New Roman" w:cs="Times New Roman"/>
        </w:rPr>
      </w:pPr>
      <w:r w:rsidRPr="005D1E09">
        <w:rPr>
          <w:rFonts w:ascii="Times New Roman" w:hAnsi="Times New Roman" w:cs="Times New Roman"/>
        </w:rPr>
        <w:t xml:space="preserve">Energy Shocks in an Import-Dependent Economy: </w:t>
      </w:r>
    </w:p>
    <w:p w14:paraId="1A034916" w14:textId="5EEB653F" w:rsidR="00540C1D" w:rsidRPr="005D1E09" w:rsidRDefault="00000000" w:rsidP="00697ADA">
      <w:pPr>
        <w:pStyle w:val="Title"/>
        <w:spacing w:before="0" w:after="120"/>
        <w:rPr>
          <w:rFonts w:ascii="Times New Roman" w:hAnsi="Times New Roman" w:cs="Times New Roman"/>
        </w:rPr>
      </w:pPr>
      <w:r w:rsidRPr="005D1E09">
        <w:rPr>
          <w:rFonts w:ascii="Times New Roman" w:hAnsi="Times New Roman" w:cs="Times New Roman"/>
        </w:rPr>
        <w:t>A CGE Assessment of a Strait of Hormuz Disruption for Pakistan</w:t>
      </w:r>
    </w:p>
    <w:p w14:paraId="12A26C53" w14:textId="77777777" w:rsidR="005D1E09" w:rsidRDefault="005D1E09" w:rsidP="005920A8">
      <w:pPr>
        <w:pStyle w:val="Author"/>
        <w:spacing w:after="120"/>
      </w:pPr>
      <w:bookmarkStart w:id="0" w:name="abstract"/>
    </w:p>
    <w:p w14:paraId="4C9EE1F7" w14:textId="77777777" w:rsidR="005D1E09" w:rsidRDefault="005D1E09" w:rsidP="005920A8">
      <w:pPr>
        <w:pStyle w:val="Author"/>
        <w:spacing w:after="120"/>
      </w:pPr>
    </w:p>
    <w:p w14:paraId="0534841D" w14:textId="50545DA6" w:rsidR="00166513" w:rsidRDefault="005920A8" w:rsidP="005920A8">
      <w:pPr>
        <w:pStyle w:val="Author"/>
        <w:spacing w:after="120"/>
      </w:pPr>
      <w:r>
        <w:t>Zulfiqar Ali Mir</w:t>
      </w:r>
    </w:p>
    <w:p w14:paraId="06B7E052" w14:textId="6276DE21" w:rsidR="005920A8" w:rsidRDefault="005920A8" w:rsidP="005920A8">
      <w:pPr>
        <w:pStyle w:val="Author"/>
        <w:spacing w:after="120"/>
      </w:pPr>
      <w:r>
        <w:t xml:space="preserve">Black Iron Quantum AI (Pvt.) Ltd., NIC Islamabad. </w:t>
      </w:r>
    </w:p>
    <w:p w14:paraId="0CF68ADD" w14:textId="6788D09C" w:rsidR="005920A8" w:rsidRDefault="005920A8" w:rsidP="005920A8">
      <w:pPr>
        <w:pStyle w:val="Author"/>
        <w:spacing w:after="120"/>
      </w:pPr>
      <w:r>
        <w:t>Email: manager.equity.finance@gmail.com</w:t>
      </w:r>
    </w:p>
    <w:p w14:paraId="4F24BF31" w14:textId="77777777" w:rsidR="0024622F" w:rsidRDefault="0024622F" w:rsidP="005920A8">
      <w:pPr>
        <w:pStyle w:val="Author"/>
        <w:spacing w:after="120"/>
      </w:pPr>
    </w:p>
    <w:p w14:paraId="58F43868" w14:textId="51C35719" w:rsidR="001D0980" w:rsidRDefault="005920A8" w:rsidP="005920A8">
      <w:pPr>
        <w:pStyle w:val="Author"/>
        <w:spacing w:after="120"/>
      </w:pPr>
      <w:r>
        <w:t xml:space="preserve">Dr Hassnain </w:t>
      </w:r>
      <w:r w:rsidR="001A089F">
        <w:t xml:space="preserve">Abbas </w:t>
      </w:r>
      <w:r>
        <w:t xml:space="preserve">Naqvi </w:t>
      </w:r>
    </w:p>
    <w:p w14:paraId="693A0405" w14:textId="76709AEC" w:rsidR="005920A8" w:rsidRDefault="005920A8" w:rsidP="005920A8">
      <w:pPr>
        <w:pStyle w:val="Author"/>
        <w:spacing w:after="120"/>
      </w:pPr>
      <w:r>
        <w:t>Email: naqqvi23@hotmail.com</w:t>
      </w:r>
    </w:p>
    <w:p w14:paraId="1E607E84" w14:textId="77777777" w:rsidR="001D0980" w:rsidRDefault="001D0980">
      <w:pPr>
        <w:pStyle w:val="Heading1"/>
        <w:spacing w:after="120"/>
      </w:pPr>
    </w:p>
    <w:p w14:paraId="63F747F9" w14:textId="77777777" w:rsidR="001D0980" w:rsidRDefault="001D0980">
      <w:pPr>
        <w:pStyle w:val="Heading1"/>
        <w:spacing w:after="120"/>
      </w:pPr>
    </w:p>
    <w:p w14:paraId="754A28D4" w14:textId="77777777" w:rsidR="001D0980" w:rsidRDefault="001D0980">
      <w:pPr>
        <w:pStyle w:val="Heading1"/>
        <w:spacing w:after="120"/>
      </w:pPr>
    </w:p>
    <w:p w14:paraId="4D49FB3F" w14:textId="77777777" w:rsidR="001D0980" w:rsidRDefault="001D0980">
      <w:pPr>
        <w:pStyle w:val="Heading1"/>
        <w:spacing w:after="120"/>
      </w:pPr>
    </w:p>
    <w:p w14:paraId="552C7486" w14:textId="77777777" w:rsidR="001D0980" w:rsidRDefault="001D0980">
      <w:pPr>
        <w:pStyle w:val="Heading1"/>
        <w:spacing w:after="120"/>
      </w:pPr>
    </w:p>
    <w:p w14:paraId="1885D804" w14:textId="77777777" w:rsidR="001D0980" w:rsidRDefault="001D0980">
      <w:pPr>
        <w:pStyle w:val="Heading1"/>
        <w:spacing w:after="120"/>
      </w:pPr>
    </w:p>
    <w:p w14:paraId="08C05E3E" w14:textId="77777777" w:rsidR="000E195E" w:rsidRDefault="000E195E">
      <w:pPr>
        <w:pStyle w:val="Heading1"/>
        <w:spacing w:after="120"/>
      </w:pPr>
    </w:p>
    <w:p w14:paraId="71EEC0A8" w14:textId="72678759" w:rsidR="00540C1D" w:rsidRDefault="00000000">
      <w:pPr>
        <w:pStyle w:val="Heading1"/>
        <w:spacing w:after="120"/>
      </w:pPr>
      <w:r>
        <w:lastRenderedPageBreak/>
        <w:t>Abstract</w:t>
      </w:r>
    </w:p>
    <w:p w14:paraId="70F55FD6" w14:textId="1377DE42" w:rsidR="00B655BC" w:rsidRDefault="00B655BC" w:rsidP="000E195E">
      <w:pPr>
        <w:pStyle w:val="BodyText"/>
        <w:spacing w:after="120" w:line="360" w:lineRule="auto"/>
        <w:jc w:val="both"/>
      </w:pPr>
      <w:r>
        <w:t>Nearly 20% of the energy requirement is imported by Pakistan and approx. 90% of the energy demand is dependent upon Middle East oil via Strait of Hormuz. The economy-wide cost of a Hormuz disruption is calculated through a computable general equilibrium (CGE) modelling system which has been calibrated with a new Social Accounting Matrix (SAM) with 15 accounts for the 2015-16 period. The SAM is based on the official PBS Input-Output table, the Labor Force Survey, HIES and MoF &amp; SBP data. The model distinguishes between urban and rural households and assumes that imported energy is near-Leontief – meaning reliant on domestic refining and power – indicating the interdependency between domestic and imported energy. Higher energy imports price increases of 30% and 71% in the world price, more sensitive to the 2026 price shock, are simulated under the flexible wage and fixed real wage scenarios, respectively.</w:t>
      </w:r>
    </w:p>
    <w:p w14:paraId="112281D0" w14:textId="29CE58E9" w:rsidR="00B655BC" w:rsidRDefault="00B655BC" w:rsidP="000E195E">
      <w:pPr>
        <w:pStyle w:val="BodyText"/>
        <w:spacing w:after="120" w:line="360" w:lineRule="auto"/>
        <w:jc w:val="both"/>
      </w:pPr>
      <w:r>
        <w:t>For the fixed-wage closure, there is a real GDP reduction of 0.54%, an increase in unemployment of 1.9% of labor force, a reduction of investment of 3%, and a reduction in welfare of the households of 2.3–2.5%. The rupee depreciates by approximately 5% and the number of people working in the energy sector shrinks by 25%. Flexible wages result in about 23% lower welfare losses in comparison to rigid wages, and the result is consistent in seven sensitivity cases. The findings justify specific transfers within a wide fuel subsidy, greater strategic stocks and diversified resources of energy supply.</w:t>
      </w:r>
    </w:p>
    <w:p w14:paraId="3DB437D3" w14:textId="62206DD5" w:rsidR="00540C1D" w:rsidRDefault="00000000" w:rsidP="000E195E">
      <w:pPr>
        <w:pStyle w:val="BodyText"/>
        <w:spacing w:after="120"/>
        <w:jc w:val="both"/>
      </w:pPr>
      <w:r>
        <w:rPr>
          <w:b/>
          <w:bCs/>
        </w:rPr>
        <w:t>Keywords:</w:t>
      </w:r>
      <w:r>
        <w:t xml:space="preserve"> CGE model; Social Accounting Matrix; oil price shock; Strait of Hormuz; Pakistan; energy security</w:t>
      </w:r>
    </w:p>
    <w:p w14:paraId="45CE6C39" w14:textId="77777777" w:rsidR="00540C1D" w:rsidRDefault="00000000">
      <w:pPr>
        <w:pStyle w:val="BodyText"/>
        <w:spacing w:after="120"/>
      </w:pPr>
      <w:r>
        <w:rPr>
          <w:b/>
          <w:bCs/>
        </w:rPr>
        <w:t>JEL codes:</w:t>
      </w:r>
      <w:r>
        <w:t xml:space="preserve"> C68, D58, Q43, F41</w:t>
      </w:r>
    </w:p>
    <w:p w14:paraId="1B1AA6FE" w14:textId="5B40EC3A" w:rsidR="00540C1D" w:rsidRDefault="00000000">
      <w:pPr>
        <w:pStyle w:val="Heading1"/>
        <w:spacing w:after="120"/>
      </w:pPr>
      <w:bookmarkStart w:id="1" w:name="introduction"/>
      <w:bookmarkEnd w:id="0"/>
      <w:r>
        <w:lastRenderedPageBreak/>
        <w:t>1. Introduction</w:t>
      </w:r>
    </w:p>
    <w:p w14:paraId="04AF0177" w14:textId="73803450" w:rsidR="00B655BC" w:rsidRPr="00B655BC" w:rsidRDefault="00B655BC" w:rsidP="000E195E">
      <w:pPr>
        <w:pStyle w:val="Heading2"/>
        <w:spacing w:after="120" w:line="360" w:lineRule="auto"/>
        <w:jc w:val="both"/>
        <w:rPr>
          <w:rFonts w:ascii="Times New Roman" w:eastAsia="Times New Roman" w:hAnsi="Times New Roman" w:cs="Times New Roman"/>
          <w:b w:val="0"/>
          <w:bCs w:val="0"/>
          <w:color w:val="auto"/>
          <w:sz w:val="22"/>
          <w:szCs w:val="24"/>
        </w:rPr>
      </w:pPr>
      <w:bookmarkStart w:id="2" w:name="research-gap"/>
      <w:r w:rsidRPr="00B655BC">
        <w:rPr>
          <w:rFonts w:ascii="Times New Roman" w:eastAsia="Times New Roman" w:hAnsi="Times New Roman" w:cs="Times New Roman"/>
          <w:b w:val="0"/>
          <w:bCs w:val="0"/>
          <w:color w:val="auto"/>
          <w:sz w:val="22"/>
          <w:szCs w:val="24"/>
        </w:rPr>
        <w:t>A disruption of a month or more duration in the Strait of Hormuz would inflict an average price of 0.54% of real GDP expansion on Pakistan and increase its unemployment by around 1.9% of its labor force. It would also reduce the welfare of households by 2.3-2.5%. The following are the headline findings of a computable general equilibrium (CGE) model developed using a new SAM for Pakistan for the period 2015-16.</w:t>
      </w:r>
    </w:p>
    <w:p w14:paraId="4F3EDBA0" w14:textId="77777777" w:rsidR="00B655BC" w:rsidRDefault="00B655BC" w:rsidP="000E195E">
      <w:pPr>
        <w:pStyle w:val="Heading2"/>
        <w:spacing w:after="120" w:line="360" w:lineRule="auto"/>
        <w:jc w:val="both"/>
        <w:rPr>
          <w:rFonts w:ascii="Times New Roman" w:eastAsia="Times New Roman" w:hAnsi="Times New Roman" w:cs="Times New Roman"/>
          <w:b w:val="0"/>
          <w:bCs w:val="0"/>
          <w:color w:val="auto"/>
          <w:sz w:val="22"/>
          <w:szCs w:val="24"/>
        </w:rPr>
      </w:pPr>
      <w:r w:rsidRPr="00B655BC">
        <w:rPr>
          <w:rFonts w:ascii="Times New Roman" w:eastAsia="Times New Roman" w:hAnsi="Times New Roman" w:cs="Times New Roman"/>
          <w:b w:val="0"/>
          <w:bCs w:val="0"/>
          <w:color w:val="auto"/>
          <w:sz w:val="22"/>
          <w:szCs w:val="24"/>
        </w:rPr>
        <w:t>Pakistan is one of the hit countries in case of Hormuz closure. Less than 30 days of reserve cover (Business Recorder, 2026) and approximately 90% oil imports from the Middle East. In 2026 crude prices shot up about double after the end of the Strait, beginning with February-old prices of US$70 per barrel and culminating in March with average prices of US$145 per barrel (The News, 2026). Such a blow quickly turns into a balance-of-payments, inflation and employment issue in the countries experiencing thin foreign-exchange reserves.</w:t>
      </w:r>
    </w:p>
    <w:p w14:paraId="2A26AFC6" w14:textId="1CB10CA5" w:rsidR="00540C1D" w:rsidRDefault="00000000" w:rsidP="00B655BC">
      <w:pPr>
        <w:pStyle w:val="Heading2"/>
        <w:spacing w:after="120"/>
      </w:pPr>
      <w:r>
        <w:t>Research gap</w:t>
      </w:r>
    </w:p>
    <w:p w14:paraId="293C4EED" w14:textId="77777777" w:rsidR="00B655BC" w:rsidRDefault="00B655BC" w:rsidP="000E195E">
      <w:pPr>
        <w:pStyle w:val="Heading2"/>
        <w:spacing w:after="120" w:line="360" w:lineRule="auto"/>
        <w:jc w:val="both"/>
        <w:rPr>
          <w:rFonts w:ascii="Times New Roman" w:eastAsia="Times New Roman" w:hAnsi="Times New Roman" w:cs="Times New Roman"/>
          <w:b w:val="0"/>
          <w:bCs w:val="0"/>
          <w:color w:val="auto"/>
          <w:sz w:val="22"/>
          <w:szCs w:val="24"/>
        </w:rPr>
      </w:pPr>
      <w:bookmarkStart w:id="3" w:name="contribution"/>
      <w:bookmarkEnd w:id="2"/>
      <w:r w:rsidRPr="00B655BC">
        <w:rPr>
          <w:rFonts w:ascii="Times New Roman" w:eastAsia="Times New Roman" w:hAnsi="Times New Roman" w:cs="Times New Roman"/>
          <w:b w:val="0"/>
          <w:bCs w:val="0"/>
          <w:color w:val="auto"/>
          <w:sz w:val="22"/>
          <w:szCs w:val="24"/>
        </w:rPr>
        <w:t>Previous literature on oil shocks in Pakistan has been primarily based upon time-series approaches (Khan and Ahmed, 2011; Aziz et al., 2016). The sectors that do not include these price-pass-through channels, factor incomes and household welfare, sectoral reallocation, and exchange-rate adjustment. Only the CGE studies of Pakistan adopt older SAMs and only look at tax and energy-pricing policy, but not the shock of the Gulf supply route (Naqvi, 1998; Debowicz et al., 2012; Mahmood and Marpaung, 2014). In contrast, there is no study on the 2015-16 Supply-Use and Input-Output tables explaining the link to an official assessment of Hormuz risk in a CGE model.</w:t>
      </w:r>
    </w:p>
    <w:p w14:paraId="006BE092" w14:textId="5AB69343" w:rsidR="00540C1D" w:rsidRDefault="00000000">
      <w:pPr>
        <w:pStyle w:val="Heading2"/>
        <w:spacing w:after="120"/>
      </w:pPr>
      <w:r>
        <w:t>Contribution</w:t>
      </w:r>
    </w:p>
    <w:p w14:paraId="6FCDA91C" w14:textId="77777777" w:rsidR="00B655BC" w:rsidRDefault="00B655BC">
      <w:pPr>
        <w:pStyle w:val="Heading2"/>
        <w:spacing w:after="120"/>
        <w:rPr>
          <w:rFonts w:ascii="Times New Roman" w:eastAsia="Times New Roman" w:hAnsi="Times New Roman" w:cs="Times New Roman"/>
          <w:b w:val="0"/>
          <w:bCs w:val="0"/>
          <w:color w:val="auto"/>
          <w:sz w:val="22"/>
          <w:szCs w:val="24"/>
        </w:rPr>
      </w:pPr>
      <w:bookmarkStart w:id="4" w:name="key-results"/>
      <w:bookmarkEnd w:id="3"/>
      <w:r w:rsidRPr="00B655BC">
        <w:rPr>
          <w:rFonts w:ascii="Times New Roman" w:eastAsia="Times New Roman" w:hAnsi="Times New Roman" w:cs="Times New Roman"/>
          <w:b w:val="0"/>
          <w:bCs w:val="0"/>
          <w:color w:val="auto"/>
          <w:sz w:val="22"/>
          <w:szCs w:val="24"/>
        </w:rPr>
        <w:t xml:space="preserve">In this paper, we make three contributions: </w:t>
      </w:r>
    </w:p>
    <w:p w14:paraId="5260B926" w14:textId="6DD5FC02" w:rsidR="00B655BC" w:rsidRDefault="00B655BC" w:rsidP="00FA3D3D">
      <w:pPr>
        <w:pStyle w:val="Heading2"/>
        <w:numPr>
          <w:ilvl w:val="0"/>
          <w:numId w:val="5"/>
        </w:numPr>
        <w:spacing w:after="120" w:line="360" w:lineRule="auto"/>
        <w:ind w:left="270" w:hanging="270"/>
        <w:jc w:val="both"/>
        <w:rPr>
          <w:rFonts w:ascii="Times New Roman" w:eastAsia="Times New Roman" w:hAnsi="Times New Roman" w:cs="Times New Roman"/>
          <w:b w:val="0"/>
          <w:bCs w:val="0"/>
          <w:color w:val="auto"/>
          <w:sz w:val="22"/>
          <w:szCs w:val="24"/>
        </w:rPr>
      </w:pPr>
      <w:r w:rsidRPr="00B655BC">
        <w:rPr>
          <w:rFonts w:ascii="Times New Roman" w:eastAsia="Times New Roman" w:hAnsi="Times New Roman" w:cs="Times New Roman"/>
          <w:b w:val="0"/>
          <w:bCs w:val="0"/>
          <w:color w:val="auto"/>
          <w:sz w:val="22"/>
          <w:szCs w:val="24"/>
        </w:rPr>
        <w:t xml:space="preserve">A new SAM. We project a balanced 15 account SAM for Pakistan 2015-16 based on official data including the PBS Input-Output table, Labor Force Survey 2014-15, HIES 2015-16 and fiscal and balance-of-payments data from MoF and SBP. </w:t>
      </w:r>
    </w:p>
    <w:p w14:paraId="5026DECF" w14:textId="00849B30" w:rsidR="00B655BC" w:rsidRDefault="00B655BC" w:rsidP="00FA3D3D">
      <w:pPr>
        <w:pStyle w:val="Heading2"/>
        <w:numPr>
          <w:ilvl w:val="0"/>
          <w:numId w:val="5"/>
        </w:numPr>
        <w:spacing w:after="120" w:line="360" w:lineRule="auto"/>
        <w:ind w:left="270" w:hanging="270"/>
        <w:jc w:val="both"/>
        <w:rPr>
          <w:rFonts w:ascii="Times New Roman" w:eastAsia="Times New Roman" w:hAnsi="Times New Roman" w:cs="Times New Roman"/>
          <w:b w:val="0"/>
          <w:bCs w:val="0"/>
          <w:color w:val="auto"/>
          <w:sz w:val="22"/>
          <w:szCs w:val="24"/>
        </w:rPr>
      </w:pPr>
      <w:r w:rsidRPr="00B655BC">
        <w:rPr>
          <w:rFonts w:ascii="Times New Roman" w:eastAsia="Times New Roman" w:hAnsi="Times New Roman" w:cs="Times New Roman"/>
          <w:b w:val="0"/>
          <w:bCs w:val="0"/>
          <w:color w:val="auto"/>
          <w:sz w:val="22"/>
          <w:szCs w:val="24"/>
        </w:rPr>
        <w:t xml:space="preserve">A quantitative policy-relevant CGE model. The model treats energy as a separate branch of the economy, and imported energy as near-Leontief (dependency on refinery and power-generation activities on imported fuel), and splits urban and rural households. </w:t>
      </w:r>
    </w:p>
    <w:p w14:paraId="418AEAE6" w14:textId="7A422AD8" w:rsidR="00B655BC" w:rsidRDefault="00B655BC" w:rsidP="00FA3D3D">
      <w:pPr>
        <w:pStyle w:val="Heading2"/>
        <w:numPr>
          <w:ilvl w:val="0"/>
          <w:numId w:val="5"/>
        </w:numPr>
        <w:spacing w:after="120" w:line="360" w:lineRule="auto"/>
        <w:ind w:left="270" w:hanging="270"/>
        <w:jc w:val="both"/>
        <w:rPr>
          <w:rFonts w:ascii="Times New Roman" w:eastAsia="Times New Roman" w:hAnsi="Times New Roman" w:cs="Times New Roman"/>
          <w:b w:val="0"/>
          <w:bCs w:val="0"/>
          <w:color w:val="auto"/>
          <w:sz w:val="22"/>
          <w:szCs w:val="24"/>
        </w:rPr>
      </w:pPr>
      <w:r w:rsidRPr="00B655BC">
        <w:rPr>
          <w:rFonts w:ascii="Times New Roman" w:eastAsia="Times New Roman" w:hAnsi="Times New Roman" w:cs="Times New Roman"/>
          <w:b w:val="0"/>
          <w:bCs w:val="0"/>
          <w:color w:val="auto"/>
          <w:sz w:val="22"/>
          <w:szCs w:val="24"/>
        </w:rPr>
        <w:t>Closure-sensitive evidence. A complete employment closure is compared to a fixed real wage closure. This demonstrates the impact of rigidity in the labor market.</w:t>
      </w:r>
    </w:p>
    <w:p w14:paraId="3B69380F" w14:textId="7E3E9299" w:rsidR="00540C1D" w:rsidRDefault="00000000" w:rsidP="00B655BC">
      <w:pPr>
        <w:pStyle w:val="Heading2"/>
        <w:spacing w:after="120"/>
      </w:pPr>
      <w:r>
        <w:lastRenderedPageBreak/>
        <w:t>Key results</w:t>
      </w:r>
    </w:p>
    <w:p w14:paraId="4E986BE5" w14:textId="77777777" w:rsidR="00540C1D" w:rsidRDefault="00000000">
      <w:pPr>
        <w:pStyle w:val="FirstParagraph"/>
        <w:spacing w:after="120"/>
      </w:pPr>
      <w:r>
        <w:rPr>
          <w:b/>
          <w:bCs/>
        </w:rPr>
        <w:t>Table 1. Key results, fixed real-wage closure (% change from base)</w:t>
      </w:r>
    </w:p>
    <w:tbl>
      <w:tblPr>
        <w:tblStyle w:val="Table"/>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796"/>
        <w:gridCol w:w="1113"/>
        <w:gridCol w:w="1113"/>
      </w:tblGrid>
      <w:tr w:rsidR="00540C1D" w14:paraId="0160FF8C" w14:textId="77777777" w:rsidTr="00FA3D3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86FFEDE" w14:textId="77777777" w:rsidR="00540C1D" w:rsidRDefault="00000000">
            <w:pPr>
              <w:pStyle w:val="Compact"/>
              <w:spacing w:after="0"/>
            </w:pPr>
            <w:r>
              <w:rPr>
                <w:sz w:val="18"/>
              </w:rPr>
              <w:t>Indicator (% change)</w:t>
            </w:r>
          </w:p>
        </w:tc>
        <w:tc>
          <w:tcPr>
            <w:tcW w:w="0" w:type="auto"/>
          </w:tcPr>
          <w:p w14:paraId="0B9159DA" w14:textId="77777777" w:rsidR="00540C1D" w:rsidRDefault="00000000">
            <w:pPr>
              <w:pStyle w:val="Compact"/>
              <w:spacing w:after="0"/>
            </w:pPr>
            <w:r>
              <w:rPr>
                <w:sz w:val="18"/>
              </w:rPr>
              <w:t>+30% shock</w:t>
            </w:r>
          </w:p>
        </w:tc>
        <w:tc>
          <w:tcPr>
            <w:tcW w:w="0" w:type="auto"/>
          </w:tcPr>
          <w:p w14:paraId="6230B372" w14:textId="77777777" w:rsidR="00540C1D" w:rsidRDefault="00000000">
            <w:pPr>
              <w:pStyle w:val="Compact"/>
              <w:spacing w:after="0"/>
            </w:pPr>
            <w:r>
              <w:rPr>
                <w:sz w:val="18"/>
              </w:rPr>
              <w:t>+71% shock</w:t>
            </w:r>
          </w:p>
        </w:tc>
      </w:tr>
      <w:tr w:rsidR="00540C1D" w14:paraId="7BD2F7B3" w14:textId="77777777" w:rsidTr="00FA3D3D">
        <w:trPr>
          <w:jc w:val="center"/>
        </w:trPr>
        <w:tc>
          <w:tcPr>
            <w:tcW w:w="0" w:type="auto"/>
          </w:tcPr>
          <w:p w14:paraId="01385D41" w14:textId="77777777" w:rsidR="00540C1D" w:rsidRDefault="00000000">
            <w:pPr>
              <w:pStyle w:val="Compact"/>
              <w:spacing w:after="0"/>
            </w:pPr>
            <w:r>
              <w:rPr>
                <w:sz w:val="18"/>
              </w:rPr>
              <w:t>Real GDP</w:t>
            </w:r>
          </w:p>
        </w:tc>
        <w:tc>
          <w:tcPr>
            <w:tcW w:w="0" w:type="auto"/>
          </w:tcPr>
          <w:p w14:paraId="6A5E2D5A" w14:textId="77777777" w:rsidR="00540C1D" w:rsidRDefault="00000000">
            <w:pPr>
              <w:pStyle w:val="Compact"/>
              <w:spacing w:after="0"/>
            </w:pPr>
            <w:r>
              <w:rPr>
                <w:sz w:val="18"/>
              </w:rPr>
              <w:t>−0.22</w:t>
            </w:r>
          </w:p>
        </w:tc>
        <w:tc>
          <w:tcPr>
            <w:tcW w:w="0" w:type="auto"/>
          </w:tcPr>
          <w:p w14:paraId="39FEB783" w14:textId="77777777" w:rsidR="00540C1D" w:rsidRDefault="00000000">
            <w:pPr>
              <w:pStyle w:val="Compact"/>
              <w:spacing w:after="0"/>
            </w:pPr>
            <w:r>
              <w:rPr>
                <w:sz w:val="18"/>
              </w:rPr>
              <w:t>−0.54</w:t>
            </w:r>
          </w:p>
        </w:tc>
      </w:tr>
      <w:tr w:rsidR="00540C1D" w14:paraId="4C6A77AA" w14:textId="77777777" w:rsidTr="00FA3D3D">
        <w:trPr>
          <w:jc w:val="center"/>
        </w:trPr>
        <w:tc>
          <w:tcPr>
            <w:tcW w:w="0" w:type="auto"/>
          </w:tcPr>
          <w:p w14:paraId="6775896F" w14:textId="77777777" w:rsidR="00540C1D" w:rsidRDefault="00000000">
            <w:pPr>
              <w:pStyle w:val="Compact"/>
              <w:spacing w:after="0"/>
            </w:pPr>
            <w:r>
              <w:rPr>
                <w:sz w:val="18"/>
              </w:rPr>
              <w:t>Unemployment (pp of labour force)</w:t>
            </w:r>
          </w:p>
        </w:tc>
        <w:tc>
          <w:tcPr>
            <w:tcW w:w="0" w:type="auto"/>
          </w:tcPr>
          <w:p w14:paraId="23264776" w14:textId="77777777" w:rsidR="00540C1D" w:rsidRDefault="00000000">
            <w:pPr>
              <w:pStyle w:val="Compact"/>
              <w:spacing w:after="0"/>
            </w:pPr>
            <w:r>
              <w:rPr>
                <w:sz w:val="18"/>
              </w:rPr>
              <w:t>+0.79</w:t>
            </w:r>
          </w:p>
        </w:tc>
        <w:tc>
          <w:tcPr>
            <w:tcW w:w="0" w:type="auto"/>
          </w:tcPr>
          <w:p w14:paraId="0E902F12" w14:textId="77777777" w:rsidR="00540C1D" w:rsidRDefault="00000000">
            <w:pPr>
              <w:pStyle w:val="Compact"/>
              <w:spacing w:after="0"/>
            </w:pPr>
            <w:r>
              <w:rPr>
                <w:sz w:val="18"/>
              </w:rPr>
              <w:t>+1.92</w:t>
            </w:r>
          </w:p>
        </w:tc>
      </w:tr>
      <w:tr w:rsidR="00540C1D" w14:paraId="65229252" w14:textId="77777777" w:rsidTr="00FA3D3D">
        <w:trPr>
          <w:jc w:val="center"/>
        </w:trPr>
        <w:tc>
          <w:tcPr>
            <w:tcW w:w="0" w:type="auto"/>
          </w:tcPr>
          <w:p w14:paraId="2B7DA274" w14:textId="77777777" w:rsidR="00540C1D" w:rsidRDefault="00000000">
            <w:pPr>
              <w:pStyle w:val="Compact"/>
              <w:spacing w:after="0"/>
            </w:pPr>
            <w:r>
              <w:rPr>
                <w:sz w:val="18"/>
              </w:rPr>
              <w:t>Energy sector output</w:t>
            </w:r>
          </w:p>
        </w:tc>
        <w:tc>
          <w:tcPr>
            <w:tcW w:w="0" w:type="auto"/>
          </w:tcPr>
          <w:p w14:paraId="0DCE12FC" w14:textId="77777777" w:rsidR="00540C1D" w:rsidRDefault="00000000">
            <w:pPr>
              <w:pStyle w:val="Compact"/>
              <w:spacing w:after="0"/>
            </w:pPr>
            <w:r>
              <w:rPr>
                <w:sz w:val="18"/>
              </w:rPr>
              <w:t>−0.60</w:t>
            </w:r>
          </w:p>
        </w:tc>
        <w:tc>
          <w:tcPr>
            <w:tcW w:w="0" w:type="auto"/>
          </w:tcPr>
          <w:p w14:paraId="35BB1508" w14:textId="77777777" w:rsidR="00540C1D" w:rsidRDefault="00000000">
            <w:pPr>
              <w:pStyle w:val="Compact"/>
              <w:spacing w:after="0"/>
            </w:pPr>
            <w:r>
              <w:rPr>
                <w:sz w:val="18"/>
              </w:rPr>
              <w:t>−1.49</w:t>
            </w:r>
          </w:p>
        </w:tc>
      </w:tr>
      <w:tr w:rsidR="00540C1D" w14:paraId="2AFAF774" w14:textId="77777777" w:rsidTr="00FA3D3D">
        <w:trPr>
          <w:jc w:val="center"/>
        </w:trPr>
        <w:tc>
          <w:tcPr>
            <w:tcW w:w="0" w:type="auto"/>
          </w:tcPr>
          <w:p w14:paraId="7A543963" w14:textId="77777777" w:rsidR="00540C1D" w:rsidRDefault="00000000">
            <w:pPr>
              <w:pStyle w:val="Compact"/>
              <w:spacing w:after="0"/>
            </w:pPr>
            <w:r>
              <w:rPr>
                <w:sz w:val="18"/>
              </w:rPr>
              <w:t>Exchange rate (PKR depreciation)</w:t>
            </w:r>
          </w:p>
        </w:tc>
        <w:tc>
          <w:tcPr>
            <w:tcW w:w="0" w:type="auto"/>
          </w:tcPr>
          <w:p w14:paraId="0C2A96DC" w14:textId="77777777" w:rsidR="00540C1D" w:rsidRDefault="00000000">
            <w:pPr>
              <w:pStyle w:val="Compact"/>
              <w:spacing w:after="0"/>
            </w:pPr>
            <w:r>
              <w:rPr>
                <w:sz w:val="18"/>
              </w:rPr>
              <w:t>+2.2</w:t>
            </w:r>
          </w:p>
        </w:tc>
        <w:tc>
          <w:tcPr>
            <w:tcW w:w="0" w:type="auto"/>
          </w:tcPr>
          <w:p w14:paraId="58EA2E31" w14:textId="77777777" w:rsidR="00540C1D" w:rsidRDefault="00000000">
            <w:pPr>
              <w:pStyle w:val="Compact"/>
              <w:spacing w:after="0"/>
            </w:pPr>
            <w:r>
              <w:rPr>
                <w:sz w:val="18"/>
              </w:rPr>
              <w:t>+5.0</w:t>
            </w:r>
          </w:p>
        </w:tc>
      </w:tr>
      <w:tr w:rsidR="00540C1D" w14:paraId="476FEA72" w14:textId="77777777" w:rsidTr="00FA3D3D">
        <w:trPr>
          <w:jc w:val="center"/>
        </w:trPr>
        <w:tc>
          <w:tcPr>
            <w:tcW w:w="0" w:type="auto"/>
          </w:tcPr>
          <w:p w14:paraId="78F3D4F6" w14:textId="77777777" w:rsidR="00540C1D" w:rsidRDefault="00000000">
            <w:pPr>
              <w:pStyle w:val="Compact"/>
              <w:spacing w:after="0"/>
            </w:pPr>
            <w:r>
              <w:rPr>
                <w:sz w:val="18"/>
              </w:rPr>
              <w:t>Total investment</w:t>
            </w:r>
          </w:p>
        </w:tc>
        <w:tc>
          <w:tcPr>
            <w:tcW w:w="0" w:type="auto"/>
          </w:tcPr>
          <w:p w14:paraId="3D3DC792" w14:textId="77777777" w:rsidR="00540C1D" w:rsidRDefault="00000000">
            <w:pPr>
              <w:pStyle w:val="Compact"/>
              <w:spacing w:after="0"/>
            </w:pPr>
            <w:r>
              <w:rPr>
                <w:sz w:val="18"/>
              </w:rPr>
              <w:t>−1.3</w:t>
            </w:r>
          </w:p>
        </w:tc>
        <w:tc>
          <w:tcPr>
            <w:tcW w:w="0" w:type="auto"/>
          </w:tcPr>
          <w:p w14:paraId="061DFC97" w14:textId="77777777" w:rsidR="00540C1D" w:rsidRDefault="00000000">
            <w:pPr>
              <w:pStyle w:val="Compact"/>
              <w:spacing w:after="0"/>
            </w:pPr>
            <w:r>
              <w:rPr>
                <w:sz w:val="18"/>
              </w:rPr>
              <w:t>−3.0</w:t>
            </w:r>
          </w:p>
        </w:tc>
      </w:tr>
      <w:tr w:rsidR="00540C1D" w14:paraId="21DE39E9" w14:textId="77777777" w:rsidTr="00FA3D3D">
        <w:trPr>
          <w:jc w:val="center"/>
        </w:trPr>
        <w:tc>
          <w:tcPr>
            <w:tcW w:w="0" w:type="auto"/>
          </w:tcPr>
          <w:p w14:paraId="2B81FD18" w14:textId="77777777" w:rsidR="00540C1D" w:rsidRDefault="00000000">
            <w:pPr>
              <w:pStyle w:val="Compact"/>
              <w:spacing w:after="0"/>
            </w:pPr>
            <w:r>
              <w:rPr>
                <w:sz w:val="18"/>
              </w:rPr>
              <w:t>Urban household welfare</w:t>
            </w:r>
          </w:p>
        </w:tc>
        <w:tc>
          <w:tcPr>
            <w:tcW w:w="0" w:type="auto"/>
          </w:tcPr>
          <w:p w14:paraId="34D747DA" w14:textId="77777777" w:rsidR="00540C1D" w:rsidRDefault="00000000">
            <w:pPr>
              <w:pStyle w:val="Compact"/>
              <w:spacing w:after="0"/>
            </w:pPr>
            <w:r>
              <w:rPr>
                <w:sz w:val="18"/>
              </w:rPr>
              <w:t>−1.06</w:t>
            </w:r>
          </w:p>
        </w:tc>
        <w:tc>
          <w:tcPr>
            <w:tcW w:w="0" w:type="auto"/>
          </w:tcPr>
          <w:p w14:paraId="41EC50A2" w14:textId="77777777" w:rsidR="00540C1D" w:rsidRDefault="00000000">
            <w:pPr>
              <w:pStyle w:val="Compact"/>
              <w:spacing w:after="0"/>
            </w:pPr>
            <w:r>
              <w:rPr>
                <w:sz w:val="18"/>
              </w:rPr>
              <w:t>−2.50</w:t>
            </w:r>
          </w:p>
        </w:tc>
      </w:tr>
      <w:tr w:rsidR="00540C1D" w14:paraId="6238C096" w14:textId="77777777" w:rsidTr="00FA3D3D">
        <w:trPr>
          <w:jc w:val="center"/>
        </w:trPr>
        <w:tc>
          <w:tcPr>
            <w:tcW w:w="0" w:type="auto"/>
          </w:tcPr>
          <w:p w14:paraId="65605810" w14:textId="77777777" w:rsidR="00540C1D" w:rsidRDefault="00000000">
            <w:pPr>
              <w:pStyle w:val="Compact"/>
              <w:spacing w:after="0"/>
            </w:pPr>
            <w:r>
              <w:rPr>
                <w:sz w:val="18"/>
              </w:rPr>
              <w:t>Rural household welfare</w:t>
            </w:r>
          </w:p>
        </w:tc>
        <w:tc>
          <w:tcPr>
            <w:tcW w:w="0" w:type="auto"/>
          </w:tcPr>
          <w:p w14:paraId="3C1F5566" w14:textId="77777777" w:rsidR="00540C1D" w:rsidRDefault="00000000">
            <w:pPr>
              <w:pStyle w:val="Compact"/>
              <w:spacing w:after="0"/>
            </w:pPr>
            <w:r>
              <w:rPr>
                <w:sz w:val="18"/>
              </w:rPr>
              <w:t>−0.98</w:t>
            </w:r>
          </w:p>
        </w:tc>
        <w:tc>
          <w:tcPr>
            <w:tcW w:w="0" w:type="auto"/>
          </w:tcPr>
          <w:p w14:paraId="191C0000" w14:textId="77777777" w:rsidR="00540C1D" w:rsidRDefault="00000000">
            <w:pPr>
              <w:pStyle w:val="Compact"/>
              <w:spacing w:after="0"/>
            </w:pPr>
            <w:r>
              <w:rPr>
                <w:sz w:val="18"/>
              </w:rPr>
              <w:t>−2.31</w:t>
            </w:r>
          </w:p>
        </w:tc>
      </w:tr>
    </w:tbl>
    <w:p w14:paraId="36412A5C" w14:textId="77777777" w:rsidR="00540C1D" w:rsidRDefault="00000000" w:rsidP="00FA3D3D">
      <w:pPr>
        <w:pStyle w:val="BodyText"/>
        <w:spacing w:after="120" w:line="360" w:lineRule="auto"/>
        <w:jc w:val="both"/>
      </w:pPr>
      <w:r>
        <w:t>Results shown are for the fixed real-wage closure. Under full employment, GDP barely moves, but welfare still falls by 0.8–2.0%.</w:t>
      </w:r>
    </w:p>
    <w:p w14:paraId="4AAD70B4" w14:textId="35AE361D" w:rsidR="00B655BC" w:rsidRDefault="00B655BC"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5" w:name="structure"/>
      <w:bookmarkEnd w:id="4"/>
      <w:r w:rsidRPr="00B655BC">
        <w:rPr>
          <w:rFonts w:ascii="Times New Roman" w:eastAsia="Times New Roman" w:hAnsi="Times New Roman" w:cs="Times New Roman"/>
          <w:b w:val="0"/>
          <w:bCs w:val="0"/>
          <w:color w:val="auto"/>
          <w:sz w:val="22"/>
          <w:szCs w:val="24"/>
        </w:rPr>
        <w:lastRenderedPageBreak/>
        <w:t xml:space="preserve">Main adjustment is through the exchange rate. No energy import can be reduced at any cost and the value of the Rupee suffers, investment decreases and jobs in energy sector (cotractor) reduce by </w:t>
      </w:r>
      <w:r w:rsidR="00FA3D3D" w:rsidRPr="00B655BC">
        <w:rPr>
          <w:rFonts w:ascii="Times New Roman" w:eastAsia="Times New Roman" w:hAnsi="Times New Roman" w:cs="Times New Roman"/>
          <w:b w:val="0"/>
          <w:bCs w:val="0"/>
          <w:color w:val="auto"/>
          <w:sz w:val="22"/>
          <w:szCs w:val="24"/>
        </w:rPr>
        <w:t>up to</w:t>
      </w:r>
      <w:r w:rsidRPr="00B655BC">
        <w:rPr>
          <w:rFonts w:ascii="Times New Roman" w:eastAsia="Times New Roman" w:hAnsi="Times New Roman" w:cs="Times New Roman"/>
          <w:b w:val="0"/>
          <w:bCs w:val="0"/>
          <w:color w:val="auto"/>
          <w:sz w:val="22"/>
          <w:szCs w:val="24"/>
        </w:rPr>
        <w:t xml:space="preserve"> 26%. Slightly more households lose than in rural areas since the urban households rely more on wage and service sector income.</w:t>
      </w:r>
    </w:p>
    <w:p w14:paraId="4E3B25CD" w14:textId="77777777" w:rsidR="00FA3D3D" w:rsidRDefault="00000000" w:rsidP="00FA3D3D">
      <w:pPr>
        <w:pStyle w:val="Heading2"/>
        <w:spacing w:after="120"/>
      </w:pPr>
      <w:r>
        <w:t>Structure</w:t>
      </w:r>
      <w:bookmarkStart w:id="6" w:name="pakistans-energy-import-dependence"/>
      <w:bookmarkEnd w:id="1"/>
      <w:bookmarkEnd w:id="5"/>
    </w:p>
    <w:p w14:paraId="3F37415B" w14:textId="144C4D38" w:rsidR="00B655BC" w:rsidRPr="00FA3D3D" w:rsidRDefault="00B655BC" w:rsidP="00FA3D3D">
      <w:pPr>
        <w:pStyle w:val="Heading2"/>
        <w:spacing w:after="120" w:line="360" w:lineRule="auto"/>
        <w:jc w:val="both"/>
      </w:pPr>
      <w:r w:rsidRPr="00B655BC">
        <w:rPr>
          <w:rFonts w:ascii="Times New Roman" w:eastAsia="Times New Roman" w:hAnsi="Times New Roman" w:cs="Times New Roman"/>
          <w:b w:val="0"/>
          <w:bCs w:val="0"/>
          <w:color w:val="auto"/>
          <w:sz w:val="22"/>
          <w:szCs w:val="24"/>
        </w:rPr>
        <w:t>It is explained in Section 2 that Pakistan is highly dependent on energy imports. In Section 3, the literature is reviewed. The Section 4 explains construction of SAM and Section 5 presents the model. Scenarios, results and sensitivity analysis are given in Section 6, 7 and 8. The policy implications in the section are set in Section 9, the final Section 10 is concluded.</w:t>
      </w:r>
    </w:p>
    <w:p w14:paraId="647E5185" w14:textId="2D26A93D" w:rsidR="00540C1D" w:rsidRDefault="00000000">
      <w:pPr>
        <w:pStyle w:val="Heading1"/>
        <w:spacing w:after="120"/>
      </w:pPr>
      <w:r>
        <w:t>2. Pakistan’s energy import dependence</w:t>
      </w:r>
    </w:p>
    <w:p w14:paraId="2290412F" w14:textId="77777777" w:rsidR="00B655BC" w:rsidRDefault="00B655BC"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7" w:name="route-exposure"/>
      <w:r w:rsidRPr="00B655BC">
        <w:rPr>
          <w:rFonts w:ascii="Times New Roman" w:eastAsia="Times New Roman" w:hAnsi="Times New Roman" w:cs="Times New Roman"/>
          <w:b w:val="0"/>
          <w:bCs w:val="0"/>
          <w:color w:val="auto"/>
          <w:sz w:val="22"/>
          <w:szCs w:val="24"/>
        </w:rPr>
        <w:t>Pakistan consumes nearly a fifth of its energy requirements and it does not have any energy exports to balance the bills. Last year (2015-16) the SAM had indicated that energy imports stood at PKR 862 billion which accounted for 18.4% of total energy supply and for 32 billion PKR energy exports.</w:t>
      </w:r>
    </w:p>
    <w:p w14:paraId="70437C0C" w14:textId="10EE571A" w:rsidR="00540C1D" w:rsidRDefault="00000000">
      <w:pPr>
        <w:pStyle w:val="Heading2"/>
        <w:spacing w:after="120"/>
      </w:pPr>
      <w:r>
        <w:t>2.1 Route exposure</w:t>
      </w:r>
    </w:p>
    <w:p w14:paraId="7B36F1B4" w14:textId="77777777" w:rsidR="00B655BC" w:rsidRDefault="00B655BC"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8" w:name="energy-in-the-2015-16-economy"/>
      <w:bookmarkEnd w:id="7"/>
      <w:r w:rsidRPr="00B655BC">
        <w:rPr>
          <w:rFonts w:ascii="Times New Roman" w:eastAsia="Times New Roman" w:hAnsi="Times New Roman" w:cs="Times New Roman"/>
          <w:b w:val="0"/>
          <w:bCs w:val="0"/>
          <w:color w:val="auto"/>
          <w:sz w:val="22"/>
          <w:szCs w:val="24"/>
        </w:rPr>
        <w:t>Approximately 90% of Pakistan's crude oil imports are met from the Middle East, primarily from suppliers of the Gulf region whose supplies have to transit the Strait of Hormuz. The oil reserve cover in Pakistan's strategic reserves is less than 30 days for the country accounting for strategic and commercial reserve combined (Business Recorder, 2026). A disruption in the Strait has an impact on domestic prices within weeks as there is not much storage or alternative supply route.</w:t>
      </w:r>
    </w:p>
    <w:p w14:paraId="1C6448B9" w14:textId="6C39A9E0" w:rsidR="00540C1D" w:rsidRDefault="00000000">
      <w:pPr>
        <w:pStyle w:val="Heading2"/>
        <w:spacing w:after="120"/>
      </w:pPr>
      <w:r>
        <w:t>2.2 Energy in the 2015-16 economy</w:t>
      </w:r>
    </w:p>
    <w:p w14:paraId="4E469103" w14:textId="77777777" w:rsidR="00540C1D" w:rsidRDefault="00000000">
      <w:pPr>
        <w:pStyle w:val="FirstParagraph"/>
        <w:spacing w:after="120"/>
      </w:pPr>
      <w:r>
        <w:rPr>
          <w:b/>
          <w:bCs/>
        </w:rPr>
        <w:t>Table 2. Energy in the 2015-16 economy</w:t>
      </w:r>
    </w:p>
    <w:tbl>
      <w:tblPr>
        <w:tblStyle w:val="Table"/>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386"/>
        <w:gridCol w:w="1242"/>
        <w:gridCol w:w="1826"/>
      </w:tblGrid>
      <w:tr w:rsidR="00540C1D" w14:paraId="7E5CE17C" w14:textId="77777777" w:rsidTr="00FA3D3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435F596" w14:textId="77777777" w:rsidR="00540C1D" w:rsidRDefault="00000000">
            <w:pPr>
              <w:pStyle w:val="Compact"/>
              <w:spacing w:after="0"/>
            </w:pPr>
            <w:r>
              <w:rPr>
                <w:sz w:val="18"/>
              </w:rPr>
              <w:t>Indicator</w:t>
            </w:r>
          </w:p>
        </w:tc>
        <w:tc>
          <w:tcPr>
            <w:tcW w:w="0" w:type="auto"/>
          </w:tcPr>
          <w:p w14:paraId="251B38A3" w14:textId="77777777" w:rsidR="00540C1D" w:rsidRDefault="00000000">
            <w:pPr>
              <w:pStyle w:val="Compact"/>
              <w:spacing w:after="0"/>
            </w:pPr>
            <w:r>
              <w:rPr>
                <w:sz w:val="18"/>
              </w:rPr>
              <w:t>Value</w:t>
            </w:r>
          </w:p>
        </w:tc>
        <w:tc>
          <w:tcPr>
            <w:tcW w:w="0" w:type="auto"/>
          </w:tcPr>
          <w:p w14:paraId="20588116" w14:textId="77777777" w:rsidR="00540C1D" w:rsidRDefault="00000000">
            <w:pPr>
              <w:pStyle w:val="Compact"/>
              <w:spacing w:after="0"/>
            </w:pPr>
            <w:r>
              <w:rPr>
                <w:sz w:val="18"/>
              </w:rPr>
              <w:t>Share</w:t>
            </w:r>
          </w:p>
        </w:tc>
      </w:tr>
      <w:tr w:rsidR="00540C1D" w14:paraId="5C375C47" w14:textId="77777777" w:rsidTr="00FA3D3D">
        <w:trPr>
          <w:jc w:val="center"/>
        </w:trPr>
        <w:tc>
          <w:tcPr>
            <w:tcW w:w="0" w:type="auto"/>
          </w:tcPr>
          <w:p w14:paraId="4C43509A" w14:textId="77777777" w:rsidR="00540C1D" w:rsidRDefault="00000000">
            <w:pPr>
              <w:pStyle w:val="Compact"/>
              <w:spacing w:after="0"/>
            </w:pPr>
            <w:r>
              <w:rPr>
                <w:sz w:val="18"/>
              </w:rPr>
              <w:t>Energy imports</w:t>
            </w:r>
          </w:p>
        </w:tc>
        <w:tc>
          <w:tcPr>
            <w:tcW w:w="0" w:type="auto"/>
          </w:tcPr>
          <w:p w14:paraId="4D77F5D7" w14:textId="77777777" w:rsidR="00540C1D" w:rsidRDefault="00000000">
            <w:pPr>
              <w:pStyle w:val="Compact"/>
              <w:spacing w:after="0"/>
            </w:pPr>
            <w:r>
              <w:rPr>
                <w:sz w:val="18"/>
              </w:rPr>
              <w:t>PKR 862 bn</w:t>
            </w:r>
          </w:p>
        </w:tc>
        <w:tc>
          <w:tcPr>
            <w:tcW w:w="0" w:type="auto"/>
          </w:tcPr>
          <w:p w14:paraId="0E1F2767" w14:textId="77777777" w:rsidR="00540C1D" w:rsidRDefault="00000000">
            <w:pPr>
              <w:pStyle w:val="Compact"/>
              <w:spacing w:after="0"/>
            </w:pPr>
            <w:r>
              <w:rPr>
                <w:sz w:val="18"/>
              </w:rPr>
              <w:t>16.5% of all imports</w:t>
            </w:r>
          </w:p>
        </w:tc>
      </w:tr>
      <w:tr w:rsidR="00540C1D" w14:paraId="49939080" w14:textId="77777777" w:rsidTr="00FA3D3D">
        <w:trPr>
          <w:jc w:val="center"/>
        </w:trPr>
        <w:tc>
          <w:tcPr>
            <w:tcW w:w="0" w:type="auto"/>
          </w:tcPr>
          <w:p w14:paraId="52DC0308" w14:textId="77777777" w:rsidR="00540C1D" w:rsidRDefault="00000000">
            <w:pPr>
              <w:pStyle w:val="Compact"/>
              <w:spacing w:after="0"/>
            </w:pPr>
            <w:r>
              <w:rPr>
                <w:sz w:val="18"/>
              </w:rPr>
              <w:t>Import share of energy supply</w:t>
            </w:r>
          </w:p>
        </w:tc>
        <w:tc>
          <w:tcPr>
            <w:tcW w:w="0" w:type="auto"/>
          </w:tcPr>
          <w:p w14:paraId="5D6D31AE" w14:textId="77777777" w:rsidR="00540C1D" w:rsidRDefault="00000000">
            <w:pPr>
              <w:pStyle w:val="Compact"/>
              <w:spacing w:after="0"/>
            </w:pPr>
            <w:r>
              <w:rPr>
                <w:sz w:val="18"/>
              </w:rPr>
              <w:t>—</w:t>
            </w:r>
          </w:p>
        </w:tc>
        <w:tc>
          <w:tcPr>
            <w:tcW w:w="0" w:type="auto"/>
          </w:tcPr>
          <w:p w14:paraId="4117D001" w14:textId="77777777" w:rsidR="00540C1D" w:rsidRDefault="00000000">
            <w:pPr>
              <w:pStyle w:val="Compact"/>
              <w:spacing w:after="0"/>
            </w:pPr>
            <w:r>
              <w:rPr>
                <w:sz w:val="18"/>
              </w:rPr>
              <w:t>18.4%</w:t>
            </w:r>
          </w:p>
        </w:tc>
      </w:tr>
      <w:tr w:rsidR="00540C1D" w14:paraId="2BD552A1" w14:textId="77777777" w:rsidTr="00FA3D3D">
        <w:trPr>
          <w:jc w:val="center"/>
        </w:trPr>
        <w:tc>
          <w:tcPr>
            <w:tcW w:w="0" w:type="auto"/>
          </w:tcPr>
          <w:p w14:paraId="3D1B6C0C" w14:textId="77777777" w:rsidR="00540C1D" w:rsidRDefault="00000000">
            <w:pPr>
              <w:pStyle w:val="Compact"/>
              <w:spacing w:after="0"/>
            </w:pPr>
            <w:r>
              <w:rPr>
                <w:sz w:val="18"/>
              </w:rPr>
              <w:t>Energy sector gross output</w:t>
            </w:r>
          </w:p>
        </w:tc>
        <w:tc>
          <w:tcPr>
            <w:tcW w:w="0" w:type="auto"/>
          </w:tcPr>
          <w:p w14:paraId="600CD143" w14:textId="77777777" w:rsidR="00540C1D" w:rsidRDefault="00000000">
            <w:pPr>
              <w:pStyle w:val="Compact"/>
              <w:spacing w:after="0"/>
            </w:pPr>
            <w:r>
              <w:rPr>
                <w:sz w:val="18"/>
              </w:rPr>
              <w:t>PKR 3,828 bn</w:t>
            </w:r>
          </w:p>
        </w:tc>
        <w:tc>
          <w:tcPr>
            <w:tcW w:w="0" w:type="auto"/>
          </w:tcPr>
          <w:p w14:paraId="66C4ED6D" w14:textId="77777777" w:rsidR="00540C1D" w:rsidRDefault="00000000">
            <w:pPr>
              <w:pStyle w:val="Compact"/>
              <w:spacing w:after="0"/>
            </w:pPr>
            <w:r>
              <w:rPr>
                <w:sz w:val="18"/>
              </w:rPr>
              <w:t>7.1% of total output</w:t>
            </w:r>
          </w:p>
        </w:tc>
      </w:tr>
      <w:tr w:rsidR="00540C1D" w14:paraId="050BEC53" w14:textId="77777777" w:rsidTr="00FA3D3D">
        <w:trPr>
          <w:jc w:val="center"/>
        </w:trPr>
        <w:tc>
          <w:tcPr>
            <w:tcW w:w="0" w:type="auto"/>
          </w:tcPr>
          <w:p w14:paraId="31CFB0C6" w14:textId="77777777" w:rsidR="00540C1D" w:rsidRDefault="00000000">
            <w:pPr>
              <w:pStyle w:val="Compact"/>
              <w:spacing w:after="0"/>
            </w:pPr>
            <w:r>
              <w:rPr>
                <w:sz w:val="18"/>
              </w:rPr>
              <w:t>Energy sector value added</w:t>
            </w:r>
          </w:p>
        </w:tc>
        <w:tc>
          <w:tcPr>
            <w:tcW w:w="0" w:type="auto"/>
          </w:tcPr>
          <w:p w14:paraId="07BD5DF2" w14:textId="77777777" w:rsidR="00540C1D" w:rsidRDefault="00000000">
            <w:pPr>
              <w:pStyle w:val="Compact"/>
              <w:spacing w:after="0"/>
            </w:pPr>
            <w:r>
              <w:rPr>
                <w:sz w:val="18"/>
              </w:rPr>
              <w:t>PKR 1,413 bn</w:t>
            </w:r>
          </w:p>
        </w:tc>
        <w:tc>
          <w:tcPr>
            <w:tcW w:w="0" w:type="auto"/>
          </w:tcPr>
          <w:p w14:paraId="06C9C15E" w14:textId="77777777" w:rsidR="00540C1D" w:rsidRDefault="00000000">
            <w:pPr>
              <w:pStyle w:val="Compact"/>
              <w:spacing w:after="0"/>
            </w:pPr>
            <w:r>
              <w:rPr>
                <w:sz w:val="18"/>
              </w:rPr>
              <w:t>4.6% of GDP</w:t>
            </w:r>
          </w:p>
        </w:tc>
      </w:tr>
      <w:tr w:rsidR="00540C1D" w14:paraId="2495E75E" w14:textId="77777777" w:rsidTr="00FA3D3D">
        <w:trPr>
          <w:jc w:val="center"/>
        </w:trPr>
        <w:tc>
          <w:tcPr>
            <w:tcW w:w="0" w:type="auto"/>
          </w:tcPr>
          <w:p w14:paraId="3575CFF8" w14:textId="77777777" w:rsidR="00540C1D" w:rsidRDefault="00000000">
            <w:pPr>
              <w:pStyle w:val="Compact"/>
              <w:spacing w:after="0"/>
            </w:pPr>
            <w:r>
              <w:rPr>
                <w:sz w:val="18"/>
              </w:rPr>
              <w:t>Household energy spending</w:t>
            </w:r>
          </w:p>
        </w:tc>
        <w:tc>
          <w:tcPr>
            <w:tcW w:w="0" w:type="auto"/>
          </w:tcPr>
          <w:p w14:paraId="03B83031" w14:textId="77777777" w:rsidR="00540C1D" w:rsidRDefault="00000000">
            <w:pPr>
              <w:pStyle w:val="Compact"/>
              <w:spacing w:after="0"/>
            </w:pPr>
            <w:r>
              <w:rPr>
                <w:sz w:val="18"/>
              </w:rPr>
              <w:t>PKR 890 bn</w:t>
            </w:r>
          </w:p>
        </w:tc>
        <w:tc>
          <w:tcPr>
            <w:tcW w:w="0" w:type="auto"/>
          </w:tcPr>
          <w:p w14:paraId="4C1D8C23" w14:textId="77777777" w:rsidR="00540C1D" w:rsidRDefault="00000000">
            <w:pPr>
              <w:pStyle w:val="Compact"/>
              <w:spacing w:after="0"/>
            </w:pPr>
            <w:r>
              <w:rPr>
                <w:sz w:val="18"/>
              </w:rPr>
              <w:t>3.5% of consumption</w:t>
            </w:r>
          </w:p>
        </w:tc>
      </w:tr>
      <w:tr w:rsidR="00540C1D" w14:paraId="6E5207AF" w14:textId="77777777" w:rsidTr="00FA3D3D">
        <w:trPr>
          <w:jc w:val="center"/>
        </w:trPr>
        <w:tc>
          <w:tcPr>
            <w:tcW w:w="0" w:type="auto"/>
          </w:tcPr>
          <w:p w14:paraId="25D9D405" w14:textId="77777777" w:rsidR="00540C1D" w:rsidRDefault="00000000">
            <w:pPr>
              <w:pStyle w:val="Compact"/>
              <w:spacing w:after="0"/>
            </w:pPr>
            <w:r>
              <w:rPr>
                <w:sz w:val="18"/>
              </w:rPr>
              <w:t>Energy exports</w:t>
            </w:r>
          </w:p>
        </w:tc>
        <w:tc>
          <w:tcPr>
            <w:tcW w:w="0" w:type="auto"/>
          </w:tcPr>
          <w:p w14:paraId="30A7999C" w14:textId="77777777" w:rsidR="00540C1D" w:rsidRDefault="00000000">
            <w:pPr>
              <w:pStyle w:val="Compact"/>
              <w:spacing w:after="0"/>
            </w:pPr>
            <w:r>
              <w:rPr>
                <w:sz w:val="18"/>
              </w:rPr>
              <w:t>PKR 32 bn</w:t>
            </w:r>
          </w:p>
        </w:tc>
        <w:tc>
          <w:tcPr>
            <w:tcW w:w="0" w:type="auto"/>
          </w:tcPr>
          <w:p w14:paraId="28BCCEB0" w14:textId="77777777" w:rsidR="00540C1D" w:rsidRDefault="00000000">
            <w:pPr>
              <w:pStyle w:val="Compact"/>
              <w:spacing w:after="0"/>
            </w:pPr>
            <w:r>
              <w:rPr>
                <w:sz w:val="18"/>
              </w:rPr>
              <w:t>0.8% of energy output</w:t>
            </w:r>
          </w:p>
        </w:tc>
      </w:tr>
    </w:tbl>
    <w:p w14:paraId="5BFDA4EE" w14:textId="77777777" w:rsidR="00540C1D" w:rsidRDefault="00000000">
      <w:pPr>
        <w:pStyle w:val="BodyText"/>
        <w:spacing w:after="120"/>
      </w:pPr>
      <w:r>
        <w:t>Source: authors’ 2015-16 SAM, built from the PBS Input-Output table.</w:t>
      </w:r>
    </w:p>
    <w:p w14:paraId="2CAD2F14" w14:textId="77777777" w:rsidR="00540C1D" w:rsidRDefault="00000000">
      <w:pPr>
        <w:pStyle w:val="Heading2"/>
        <w:spacing w:after="120"/>
      </w:pPr>
      <w:bookmarkStart w:id="9" w:name="how-the-shock-spreads"/>
      <w:bookmarkEnd w:id="8"/>
      <w:r>
        <w:lastRenderedPageBreak/>
        <w:t>2.3 How the shock spreads</w:t>
      </w:r>
    </w:p>
    <w:p w14:paraId="10CEDB47" w14:textId="77777777" w:rsidR="00B655BC" w:rsidRDefault="00B655BC"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10" w:name="the-external-constraint"/>
      <w:bookmarkEnd w:id="9"/>
      <w:r w:rsidRPr="00B655BC">
        <w:rPr>
          <w:rFonts w:ascii="Times New Roman" w:eastAsia="Times New Roman" w:hAnsi="Times New Roman" w:cs="Times New Roman"/>
          <w:b w:val="0"/>
          <w:bCs w:val="0"/>
          <w:color w:val="auto"/>
          <w:sz w:val="22"/>
          <w:szCs w:val="24"/>
        </w:rPr>
        <w:t xml:space="preserve">The energy impact means more than an impact at the fuel pump: energy is an intermediate input to all sectors. Because crude oil is purchased by the energy converter (a refinery), and fuel oil and gas by energy providers (power plants), the energy sector consumes energy to 46% of its output value. Services costs include energy inputs at $5,400 or 5.4% and Manufacturing costs include energy at $3,800 or 3.8% compared to just 0.3% in Agriculture. </w:t>
      </w:r>
    </w:p>
    <w:p w14:paraId="05F0ED28" w14:textId="06C6B9B4" w:rsidR="00B655BC" w:rsidRDefault="00B655BC" w:rsidP="00FA3D3D">
      <w:pPr>
        <w:pStyle w:val="Heading2"/>
        <w:spacing w:after="120" w:line="360" w:lineRule="auto"/>
        <w:jc w:val="both"/>
        <w:rPr>
          <w:rFonts w:ascii="Times New Roman" w:eastAsia="Times New Roman" w:hAnsi="Times New Roman" w:cs="Times New Roman"/>
          <w:b w:val="0"/>
          <w:bCs w:val="0"/>
          <w:color w:val="auto"/>
          <w:sz w:val="22"/>
          <w:szCs w:val="24"/>
        </w:rPr>
      </w:pPr>
      <w:r w:rsidRPr="00B655BC">
        <w:rPr>
          <w:rFonts w:ascii="Times New Roman" w:eastAsia="Times New Roman" w:hAnsi="Times New Roman" w:cs="Times New Roman"/>
          <w:b w:val="0"/>
          <w:bCs w:val="0"/>
          <w:color w:val="auto"/>
          <w:sz w:val="22"/>
          <w:szCs w:val="24"/>
        </w:rPr>
        <w:t>Services is the biggest energy consumer in absolute terms at PKR 1.48 trillion. That's three times the Manufacturing's PKR 0.49 trillion due to the inclusion of transport and trade in Services. Thus, a Hormuz shock more than ever affects transport-related activities and it would also have an impact on the overall economy via prices and incomes.</w:t>
      </w:r>
    </w:p>
    <w:p w14:paraId="6BD2B2BF" w14:textId="77777777" w:rsidR="001F57FF" w:rsidRDefault="00000000" w:rsidP="001F57FF">
      <w:pPr>
        <w:pStyle w:val="Heading2"/>
        <w:spacing w:after="120"/>
      </w:pPr>
      <w:r>
        <w:t>2.4 The external constraint</w:t>
      </w:r>
      <w:bookmarkStart w:id="11" w:name="literature-review"/>
      <w:bookmarkEnd w:id="6"/>
      <w:bookmarkEnd w:id="10"/>
    </w:p>
    <w:p w14:paraId="2AEA9539" w14:textId="77777777" w:rsidR="001F57FF" w:rsidRDefault="001F57FF" w:rsidP="00FA3D3D">
      <w:pPr>
        <w:pStyle w:val="Heading2"/>
        <w:spacing w:after="120" w:line="360" w:lineRule="auto"/>
        <w:jc w:val="both"/>
        <w:rPr>
          <w:rFonts w:ascii="Times New Roman" w:eastAsia="Times New Roman" w:hAnsi="Times New Roman" w:cs="Times New Roman"/>
          <w:b w:val="0"/>
          <w:bCs w:val="0"/>
          <w:color w:val="auto"/>
          <w:sz w:val="22"/>
          <w:szCs w:val="24"/>
        </w:rPr>
      </w:pPr>
      <w:r w:rsidRPr="001F57FF">
        <w:rPr>
          <w:rFonts w:ascii="Times New Roman" w:eastAsia="Times New Roman" w:hAnsi="Times New Roman" w:cs="Times New Roman"/>
          <w:b w:val="0"/>
          <w:bCs w:val="0"/>
          <w:color w:val="auto"/>
          <w:sz w:val="22"/>
          <w:szCs w:val="24"/>
        </w:rPr>
        <w:t>There is not much scope in Pakistan's balance of payments to cover the additional bill from oil. The current account deficit was US$3.4 billion despite the US$19.9 billion in workers remittances (State Bank of Pakistan, 2016) in FY16. An increase in the energy bill, then, will have to be funded by either depreciation, a reduction in imports of other products, or new borrowing. The first two channels in the model at Section 5 are collected directly.</w:t>
      </w:r>
    </w:p>
    <w:p w14:paraId="623973EC" w14:textId="0D204B04" w:rsidR="00540C1D" w:rsidRDefault="00000000" w:rsidP="001F57FF">
      <w:pPr>
        <w:pStyle w:val="Heading2"/>
        <w:spacing w:after="120"/>
      </w:pPr>
      <w:r>
        <w:t>3. Literature review</w:t>
      </w:r>
    </w:p>
    <w:p w14:paraId="533C9AD2" w14:textId="77777777" w:rsidR="001F57FF" w:rsidRDefault="001F57FF"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12" w:name="Xaa0a8d10270b4b25343b4d637937724f85b9984"/>
      <w:r w:rsidRPr="001F57FF">
        <w:rPr>
          <w:rFonts w:ascii="Times New Roman" w:eastAsia="Times New Roman" w:hAnsi="Times New Roman" w:cs="Times New Roman"/>
          <w:b w:val="0"/>
          <w:bCs w:val="0"/>
          <w:color w:val="auto"/>
          <w:sz w:val="22"/>
          <w:szCs w:val="24"/>
        </w:rPr>
        <w:t xml:space="preserve">This paper is structured around three strands of work: </w:t>
      </w:r>
      <w:proofErr w:type="spellStart"/>
      <w:r w:rsidRPr="001F57FF">
        <w:rPr>
          <w:rFonts w:ascii="Times New Roman" w:eastAsia="Times New Roman" w:hAnsi="Times New Roman" w:cs="Times New Roman"/>
          <w:b w:val="0"/>
          <w:bCs w:val="0"/>
          <w:color w:val="auto"/>
          <w:sz w:val="22"/>
          <w:szCs w:val="24"/>
        </w:rPr>
        <w:t>i</w:t>
      </w:r>
      <w:proofErr w:type="spellEnd"/>
      <w:r w:rsidRPr="001F57FF">
        <w:rPr>
          <w:rFonts w:ascii="Times New Roman" w:eastAsia="Times New Roman" w:hAnsi="Times New Roman" w:cs="Times New Roman"/>
          <w:b w:val="0"/>
          <w:bCs w:val="0"/>
          <w:color w:val="auto"/>
          <w:sz w:val="22"/>
          <w:szCs w:val="24"/>
        </w:rPr>
        <w:t>) CGE impacts of the oil shocks on importing countries, ii) CGE and time series impacts of energy in Pakistan, and, iii) research in the new studies on 2026 oil shock of a Hormuz closure. None provides a recent Pakistan SAM coupled with a route specific Supply shock.</w:t>
      </w:r>
    </w:p>
    <w:p w14:paraId="7B06B13C" w14:textId="513E046D" w:rsidR="00540C1D" w:rsidRDefault="00000000">
      <w:pPr>
        <w:pStyle w:val="Heading2"/>
        <w:spacing w:after="120"/>
      </w:pPr>
      <w:r>
        <w:t>3.1 CGE studies of oil shocks in importing economies</w:t>
      </w:r>
    </w:p>
    <w:p w14:paraId="63120F0F" w14:textId="77777777" w:rsidR="001F57FF" w:rsidRDefault="001F57FF"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13" w:name="energy-and-cge-modelling-in-pakistan"/>
      <w:bookmarkEnd w:id="12"/>
      <w:r w:rsidRPr="001F57FF">
        <w:rPr>
          <w:rFonts w:ascii="Times New Roman" w:eastAsia="Times New Roman" w:hAnsi="Times New Roman" w:cs="Times New Roman"/>
          <w:b w:val="0"/>
          <w:bCs w:val="0"/>
          <w:color w:val="auto"/>
          <w:sz w:val="22"/>
          <w:szCs w:val="24"/>
        </w:rPr>
        <w:t xml:space="preserve">Ever since the 1980s, the effects of oil shocks have been a topic of investigation in the context of CGE models. The demand growth response to the second oil shock for four oil-poor developing countries has been analyzed early on, and a large expenditure switching response and real wage cuts were found to occur; the size of the response depended on the structure of the economy (Dick et al., 1984). Sánchez (2011), with the help of a dynamic CGE model, estimated that the increase in prices for oil products between 2002 and 2008 was responsible for approximately 2-3% loss of GDP per year for six importers of oil (including Bangladesh). </w:t>
      </w:r>
    </w:p>
    <w:p w14:paraId="107713F7" w14:textId="159A0CC5" w:rsidR="001F57FF" w:rsidRDefault="001F57FF" w:rsidP="00FA3D3D">
      <w:pPr>
        <w:pStyle w:val="Heading2"/>
        <w:spacing w:after="120" w:line="360" w:lineRule="auto"/>
        <w:jc w:val="both"/>
        <w:rPr>
          <w:rFonts w:ascii="Times New Roman" w:eastAsia="Times New Roman" w:hAnsi="Times New Roman" w:cs="Times New Roman"/>
          <w:b w:val="0"/>
          <w:bCs w:val="0"/>
          <w:color w:val="auto"/>
          <w:sz w:val="22"/>
          <w:szCs w:val="24"/>
        </w:rPr>
      </w:pPr>
      <w:r w:rsidRPr="001F57FF">
        <w:rPr>
          <w:rFonts w:ascii="Times New Roman" w:eastAsia="Times New Roman" w:hAnsi="Times New Roman" w:cs="Times New Roman"/>
          <w:b w:val="0"/>
          <w:bCs w:val="0"/>
          <w:color w:val="auto"/>
          <w:sz w:val="22"/>
          <w:szCs w:val="24"/>
        </w:rPr>
        <w:lastRenderedPageBreak/>
        <w:t>The energy-intensive importers, like India and China, are the most affected countries by increasing oil prices using a global recursive-dynamic CGE model with 25 regions (Timilsina, 2015). Similar channels are identified in single-country studies. The higher crude prices put an increase in the Indian prices and decrease in private consumption in India (Mohanasundari et al., 2025). For instance, in Nigeria, fuel-subsidy CGE work reveals that: the shock falls on those who are least able to bear it when the policy is poorly determined. (Siddig et al., 2014)</w:t>
      </w:r>
    </w:p>
    <w:p w14:paraId="4BCB4E31" w14:textId="26B53320" w:rsidR="00540C1D" w:rsidRDefault="00000000">
      <w:pPr>
        <w:pStyle w:val="Heading2"/>
        <w:spacing w:after="120"/>
      </w:pPr>
      <w:r>
        <w:t>3.2 Energy and CGE modelling in Pakistan</w:t>
      </w:r>
    </w:p>
    <w:p w14:paraId="1A3B5569" w14:textId="77777777" w:rsidR="001F57FF" w:rsidRDefault="001F57FF"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14" w:name="the-2026-hormuz-closure"/>
      <w:bookmarkEnd w:id="13"/>
      <w:r w:rsidRPr="001F57FF">
        <w:rPr>
          <w:rFonts w:ascii="Times New Roman" w:eastAsia="Times New Roman" w:hAnsi="Times New Roman" w:cs="Times New Roman"/>
          <w:b w:val="0"/>
          <w:bCs w:val="0"/>
          <w:color w:val="auto"/>
          <w:sz w:val="22"/>
          <w:szCs w:val="24"/>
        </w:rPr>
        <w:t xml:space="preserve">GE-PAK, the first energy CGE model for Pakistan, was a static model that was not only energy-based, but also incorporated trade and equity (Naqvi, 1998). Several studies have analyzed the effect of carbon taxation and energy efficiency in Pakistan using a 20 sector CGE model (Mahmood and Marpaung, 2014) and recent studies have focused on the efficiency cost of taxation (Khan et al., 2025). These studies are based on outdated SAMs, with the most comprehensive of these studies, applied to 2007-08, comprising 51 sectors and 18 household groups (Debowicz et al., 2012). </w:t>
      </w:r>
    </w:p>
    <w:p w14:paraId="35CEB5D9" w14:textId="56231076" w:rsidR="001F57FF" w:rsidRDefault="001F57FF" w:rsidP="00FA3D3D">
      <w:pPr>
        <w:pStyle w:val="Heading2"/>
        <w:spacing w:after="120" w:line="360" w:lineRule="auto"/>
        <w:jc w:val="both"/>
        <w:rPr>
          <w:rFonts w:ascii="Times New Roman" w:eastAsia="Times New Roman" w:hAnsi="Times New Roman" w:cs="Times New Roman"/>
          <w:b w:val="0"/>
          <w:bCs w:val="0"/>
          <w:color w:val="auto"/>
          <w:sz w:val="22"/>
          <w:szCs w:val="24"/>
        </w:rPr>
      </w:pPr>
      <w:r w:rsidRPr="001F57FF">
        <w:rPr>
          <w:rFonts w:ascii="Times New Roman" w:eastAsia="Times New Roman" w:hAnsi="Times New Roman" w:cs="Times New Roman"/>
          <w:b w:val="0"/>
          <w:bCs w:val="0"/>
          <w:color w:val="auto"/>
          <w:sz w:val="22"/>
          <w:szCs w:val="24"/>
        </w:rPr>
        <w:t>The evidence for oil shocks in Pakistan reported is for the most part from time-series models. One structural VAR showed that there were potent macroeconomic impacts on the world's price shock to food and oil (Khan and Ahmed, 2011), while the rise in energy prices was seen to reduce the consumer welfare (Aziz et al., 2016). These approaches are valid for measuring pass-through, but not sectoral reallocation or household incomes.</w:t>
      </w:r>
    </w:p>
    <w:p w14:paraId="6441B33C" w14:textId="10D0D02B" w:rsidR="00540C1D" w:rsidRDefault="00000000">
      <w:pPr>
        <w:pStyle w:val="Heading2"/>
        <w:spacing w:after="120"/>
      </w:pPr>
      <w:r>
        <w:t>3.3 The 2026 Hormuz closure</w:t>
      </w:r>
    </w:p>
    <w:p w14:paraId="19B0EDD5" w14:textId="77777777" w:rsidR="001F57FF" w:rsidRDefault="001F57FF"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15" w:name="gap-filled-by-this-paper"/>
      <w:bookmarkEnd w:id="14"/>
      <w:r w:rsidRPr="001F57FF">
        <w:rPr>
          <w:rFonts w:ascii="Times New Roman" w:eastAsia="Times New Roman" w:hAnsi="Times New Roman" w:cs="Times New Roman"/>
          <w:b w:val="0"/>
          <w:bCs w:val="0"/>
          <w:color w:val="auto"/>
          <w:sz w:val="22"/>
          <w:szCs w:val="24"/>
        </w:rPr>
        <w:t>In 2026, rapid global modelling produced by the closure. According to the Dallas Fed, a one-quarter shutdown would reduce the global annualized real GDP growth by 2.9 percentage points in the 2nd quarter 2026 (Dallas Fed, 2026). According to a general equilibrium Kiel Institute trade model, if the prices of food products increase by 10–15%, the welfare loss will be 1.8–3.5% in the Philippines; 2.7–4.5% in Pakistan; and 2.6–4.2% in India and Sri Lanka (Kiel Institute, 2026). The dependence of Pakistan on oil imports from the Middle East is estimated at around 90 per cent, with just one month of cover (Business Recorder, 2026). A challenge is that these global models treat Pakistan as a singular region where there is not a lot of information present at the sub-level. They produce no indicators of which sectors experience net negative employment growth, what happens to the exchange rate or what changes take place in households in urban versus rural areas.</w:t>
      </w:r>
    </w:p>
    <w:p w14:paraId="138F71CA" w14:textId="2CAA3B47" w:rsidR="00540C1D" w:rsidRDefault="00000000">
      <w:pPr>
        <w:pStyle w:val="Heading2"/>
        <w:spacing w:after="120"/>
      </w:pPr>
      <w:r>
        <w:t>3.4 Gap filled by this paper</w:t>
      </w:r>
    </w:p>
    <w:p w14:paraId="14D6A591" w14:textId="02E2259A" w:rsidR="001F57FF" w:rsidRDefault="001F57FF" w:rsidP="00FA3D3D">
      <w:pPr>
        <w:pStyle w:val="Heading1"/>
        <w:spacing w:after="120" w:line="360" w:lineRule="auto"/>
        <w:rPr>
          <w:rFonts w:ascii="Times New Roman" w:eastAsia="Times New Roman" w:hAnsi="Times New Roman" w:cs="Times New Roman"/>
          <w:b w:val="0"/>
          <w:bCs w:val="0"/>
          <w:color w:val="auto"/>
          <w:sz w:val="22"/>
          <w:szCs w:val="24"/>
        </w:rPr>
      </w:pPr>
      <w:bookmarkStart w:id="16" w:name="data-a-2015-16-sam-for-pakistan"/>
      <w:bookmarkEnd w:id="11"/>
      <w:bookmarkEnd w:id="15"/>
      <w:r w:rsidRPr="001F57FF">
        <w:rPr>
          <w:rFonts w:ascii="Times New Roman" w:eastAsia="Times New Roman" w:hAnsi="Times New Roman" w:cs="Times New Roman"/>
          <w:b w:val="0"/>
          <w:bCs w:val="0"/>
          <w:color w:val="auto"/>
          <w:sz w:val="22"/>
          <w:szCs w:val="24"/>
        </w:rPr>
        <w:lastRenderedPageBreak/>
        <w:t xml:space="preserve">This paper is an assemblage of these. The model is developed using a single-country CGE model (as are the previous models) but calibrated onto official 2015 and 2016 PBS tables and the 2026 Hormuz price shock from 3.3. We experience </w:t>
      </w:r>
      <w:proofErr w:type="gramStart"/>
      <w:r w:rsidRPr="001F57FF">
        <w:rPr>
          <w:rFonts w:ascii="Times New Roman" w:eastAsia="Times New Roman" w:hAnsi="Times New Roman" w:cs="Times New Roman"/>
          <w:b w:val="0"/>
          <w:bCs w:val="0"/>
          <w:color w:val="auto"/>
          <w:sz w:val="22"/>
          <w:szCs w:val="24"/>
        </w:rPr>
        <w:t>an</w:t>
      </w:r>
      <w:proofErr w:type="gramEnd"/>
      <w:r w:rsidRPr="001F57FF">
        <w:rPr>
          <w:rFonts w:ascii="Times New Roman" w:eastAsia="Times New Roman" w:hAnsi="Times New Roman" w:cs="Times New Roman"/>
          <w:b w:val="0"/>
          <w:bCs w:val="0"/>
          <w:color w:val="auto"/>
          <w:sz w:val="22"/>
          <w:szCs w:val="24"/>
        </w:rPr>
        <w:t xml:space="preserve"> 2.3–2.5 loss in welfare at the peak shock which is within Kiel's suggested range of 1.8–3.5% for the South Asian region, and connect in-depth sectoral, labor-market and household context, which is not available in the global models.</w:t>
      </w:r>
    </w:p>
    <w:p w14:paraId="6DDA013E" w14:textId="759FF714" w:rsidR="00540C1D" w:rsidRDefault="00000000">
      <w:pPr>
        <w:pStyle w:val="Heading1"/>
        <w:spacing w:after="120"/>
      </w:pPr>
      <w:r>
        <w:t>4. Data: a 2015-16 SAM for Pakistan</w:t>
      </w:r>
    </w:p>
    <w:p w14:paraId="43DAAFE9" w14:textId="77777777" w:rsidR="001F57FF" w:rsidRDefault="001F57FF"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17" w:name="accounts"/>
      <w:r w:rsidRPr="001F57FF">
        <w:rPr>
          <w:rFonts w:ascii="Times New Roman" w:eastAsia="Times New Roman" w:hAnsi="Times New Roman" w:cs="Times New Roman"/>
          <w:b w:val="0"/>
          <w:bCs w:val="0"/>
          <w:color w:val="auto"/>
          <w:sz w:val="22"/>
          <w:szCs w:val="24"/>
        </w:rPr>
        <w:t>For the centre year 2015-16, we develop a new SAM with 15 accounts, to make a new balanced SAM for Pakistan. It is the first edition from one SAM with official data supplied by the PBS Tables (Table of Supply-Use and Table of Input-Output) for that year; all entries can be identified as originating at a published source.</w:t>
      </w:r>
    </w:p>
    <w:p w14:paraId="32C3AC41" w14:textId="1E3A7657" w:rsidR="00540C1D" w:rsidRDefault="00000000">
      <w:pPr>
        <w:pStyle w:val="Heading2"/>
        <w:spacing w:after="120"/>
      </w:pPr>
      <w:r>
        <w:t>4.1 Accounts</w:t>
      </w:r>
    </w:p>
    <w:p w14:paraId="17B40B96" w14:textId="77777777" w:rsidR="00540C1D" w:rsidRDefault="00000000">
      <w:pPr>
        <w:pStyle w:val="FirstParagraph"/>
        <w:spacing w:after="120"/>
      </w:pPr>
      <w:r>
        <w:rPr>
          <w:b/>
          <w:bCs/>
        </w:rPr>
        <w:t>Table 3. SAM accounts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836"/>
        <w:gridCol w:w="7740"/>
      </w:tblGrid>
      <w:tr w:rsidR="00540C1D" w14:paraId="1A335794" w14:textId="77777777" w:rsidTr="00540C1D">
        <w:trPr>
          <w:cnfStyle w:val="100000000000" w:firstRow="1" w:lastRow="0" w:firstColumn="0" w:lastColumn="0" w:oddVBand="0" w:evenVBand="0" w:oddHBand="0" w:evenHBand="0" w:firstRowFirstColumn="0" w:firstRowLastColumn="0" w:lastRowFirstColumn="0" w:lastRowLastColumn="0"/>
          <w:tblHeader/>
        </w:trPr>
        <w:tc>
          <w:tcPr>
            <w:tcW w:w="0" w:type="auto"/>
          </w:tcPr>
          <w:p w14:paraId="712D4864" w14:textId="77777777" w:rsidR="00540C1D" w:rsidRDefault="00000000">
            <w:pPr>
              <w:pStyle w:val="Compact"/>
              <w:spacing w:after="0"/>
            </w:pPr>
            <w:r>
              <w:rPr>
                <w:sz w:val="18"/>
              </w:rPr>
              <w:t>Block</w:t>
            </w:r>
          </w:p>
        </w:tc>
        <w:tc>
          <w:tcPr>
            <w:tcW w:w="0" w:type="auto"/>
          </w:tcPr>
          <w:p w14:paraId="713F086E" w14:textId="77777777" w:rsidR="00540C1D" w:rsidRDefault="00000000">
            <w:pPr>
              <w:pStyle w:val="Compact"/>
              <w:spacing w:after="0"/>
            </w:pPr>
            <w:r>
              <w:rPr>
                <w:sz w:val="18"/>
              </w:rPr>
              <w:t>Accounts</w:t>
            </w:r>
          </w:p>
        </w:tc>
      </w:tr>
      <w:tr w:rsidR="00540C1D" w14:paraId="4A3EC83F" w14:textId="77777777">
        <w:tc>
          <w:tcPr>
            <w:tcW w:w="0" w:type="auto"/>
          </w:tcPr>
          <w:p w14:paraId="3EB386BB" w14:textId="77777777" w:rsidR="00540C1D" w:rsidRDefault="00000000">
            <w:pPr>
              <w:pStyle w:val="Compact"/>
              <w:spacing w:after="0"/>
            </w:pPr>
            <w:r>
              <w:rPr>
                <w:sz w:val="18"/>
              </w:rPr>
              <w:t>Activities</w:t>
            </w:r>
          </w:p>
        </w:tc>
        <w:tc>
          <w:tcPr>
            <w:tcW w:w="0" w:type="auto"/>
          </w:tcPr>
          <w:p w14:paraId="08449618" w14:textId="77777777" w:rsidR="00540C1D" w:rsidRDefault="00000000">
            <w:pPr>
              <w:pStyle w:val="Compact"/>
              <w:spacing w:after="0"/>
            </w:pPr>
            <w:r>
              <w:rPr>
                <w:sz w:val="18"/>
              </w:rPr>
              <w:t>Agriculture, Energy, Manufacturing, Services</w:t>
            </w:r>
          </w:p>
        </w:tc>
      </w:tr>
      <w:tr w:rsidR="00540C1D" w14:paraId="00D4194F" w14:textId="77777777">
        <w:tc>
          <w:tcPr>
            <w:tcW w:w="0" w:type="auto"/>
          </w:tcPr>
          <w:p w14:paraId="6594F532" w14:textId="77777777" w:rsidR="00540C1D" w:rsidRDefault="00000000">
            <w:pPr>
              <w:pStyle w:val="Compact"/>
              <w:spacing w:after="0"/>
            </w:pPr>
            <w:r>
              <w:rPr>
                <w:sz w:val="18"/>
              </w:rPr>
              <w:t>Commodities</w:t>
            </w:r>
          </w:p>
        </w:tc>
        <w:tc>
          <w:tcPr>
            <w:tcW w:w="0" w:type="auto"/>
          </w:tcPr>
          <w:p w14:paraId="1E8F76FA" w14:textId="77777777" w:rsidR="00540C1D" w:rsidRDefault="00000000">
            <w:pPr>
              <w:pStyle w:val="Compact"/>
              <w:spacing w:after="0"/>
            </w:pPr>
            <w:r>
              <w:rPr>
                <w:sz w:val="18"/>
              </w:rPr>
              <w:t>Agriculture, Energy, Manufacturing, Services</w:t>
            </w:r>
          </w:p>
        </w:tc>
      </w:tr>
      <w:tr w:rsidR="00540C1D" w14:paraId="541BEE93" w14:textId="77777777">
        <w:tc>
          <w:tcPr>
            <w:tcW w:w="0" w:type="auto"/>
          </w:tcPr>
          <w:p w14:paraId="63DB9FEC" w14:textId="77777777" w:rsidR="00540C1D" w:rsidRDefault="00000000">
            <w:pPr>
              <w:pStyle w:val="Compact"/>
              <w:spacing w:after="0"/>
            </w:pPr>
            <w:r>
              <w:rPr>
                <w:sz w:val="18"/>
              </w:rPr>
              <w:t>Factors</w:t>
            </w:r>
          </w:p>
        </w:tc>
        <w:tc>
          <w:tcPr>
            <w:tcW w:w="0" w:type="auto"/>
          </w:tcPr>
          <w:p w14:paraId="7B9311B9" w14:textId="77777777" w:rsidR="00540C1D" w:rsidRDefault="00000000">
            <w:pPr>
              <w:pStyle w:val="Compact"/>
              <w:spacing w:after="0"/>
            </w:pPr>
            <w:r>
              <w:rPr>
                <w:sz w:val="18"/>
              </w:rPr>
              <w:t>Labour, Capital</w:t>
            </w:r>
          </w:p>
        </w:tc>
      </w:tr>
      <w:tr w:rsidR="00540C1D" w14:paraId="02C3E9C2" w14:textId="77777777">
        <w:tc>
          <w:tcPr>
            <w:tcW w:w="0" w:type="auto"/>
          </w:tcPr>
          <w:p w14:paraId="4E9C6DB8" w14:textId="77777777" w:rsidR="00540C1D" w:rsidRDefault="00000000">
            <w:pPr>
              <w:pStyle w:val="Compact"/>
              <w:spacing w:after="0"/>
            </w:pPr>
            <w:r>
              <w:rPr>
                <w:sz w:val="18"/>
              </w:rPr>
              <w:t>Households</w:t>
            </w:r>
          </w:p>
        </w:tc>
        <w:tc>
          <w:tcPr>
            <w:tcW w:w="0" w:type="auto"/>
          </w:tcPr>
          <w:p w14:paraId="622A1065" w14:textId="77777777" w:rsidR="00540C1D" w:rsidRDefault="00000000">
            <w:pPr>
              <w:pStyle w:val="Compact"/>
              <w:spacing w:after="0"/>
            </w:pPr>
            <w:r>
              <w:rPr>
                <w:sz w:val="18"/>
              </w:rPr>
              <w:t>Urban, Rural</w:t>
            </w:r>
          </w:p>
        </w:tc>
      </w:tr>
      <w:tr w:rsidR="00540C1D" w14:paraId="5624C056" w14:textId="77777777">
        <w:tc>
          <w:tcPr>
            <w:tcW w:w="0" w:type="auto"/>
          </w:tcPr>
          <w:p w14:paraId="30EB5CA4" w14:textId="77777777" w:rsidR="00540C1D" w:rsidRDefault="00000000">
            <w:pPr>
              <w:pStyle w:val="Compact"/>
              <w:spacing w:after="0"/>
            </w:pPr>
            <w:r>
              <w:rPr>
                <w:sz w:val="18"/>
              </w:rPr>
              <w:t>Institutions</w:t>
            </w:r>
          </w:p>
        </w:tc>
        <w:tc>
          <w:tcPr>
            <w:tcW w:w="0" w:type="auto"/>
          </w:tcPr>
          <w:p w14:paraId="504DDD04" w14:textId="77777777" w:rsidR="00540C1D" w:rsidRDefault="00000000">
            <w:pPr>
              <w:pStyle w:val="Compact"/>
              <w:spacing w:after="0"/>
            </w:pPr>
            <w:r>
              <w:rPr>
                <w:sz w:val="18"/>
              </w:rPr>
              <w:t>Government (including taxes), Rest of World, Savings-Investment</w:t>
            </w:r>
          </w:p>
        </w:tc>
      </w:tr>
    </w:tbl>
    <w:p w14:paraId="5AF393EF" w14:textId="77777777" w:rsidR="00540C1D" w:rsidRDefault="00000000" w:rsidP="00FA3D3D">
      <w:pPr>
        <w:pStyle w:val="BodyText"/>
        <w:spacing w:after="120" w:line="360" w:lineRule="auto"/>
        <w:jc w:val="both"/>
      </w:pPr>
      <w:r>
        <w:t>Energy is a separate sector because the Hormuz shock enters through energy imports. It covers mining (PSIC 05–09), petroleum refining (PSIC 19) and electricity and gas supply (PSIC 35). Agriculture covers PSIC 01–03, Manufacturing covers PSIC 10–33 excluding refining, and Services covers everything else.</w:t>
      </w:r>
    </w:p>
    <w:p w14:paraId="4D7F18DB" w14:textId="77777777" w:rsidR="00540C1D" w:rsidRDefault="00000000">
      <w:pPr>
        <w:pStyle w:val="Heading2"/>
        <w:spacing w:after="120"/>
      </w:pPr>
      <w:bookmarkStart w:id="18" w:name="data-sources"/>
      <w:bookmarkEnd w:id="17"/>
      <w:r>
        <w:t>4.2 Data sources</w:t>
      </w:r>
    </w:p>
    <w:p w14:paraId="1FE96C04" w14:textId="77777777" w:rsidR="00540C1D" w:rsidRDefault="00000000">
      <w:pPr>
        <w:pStyle w:val="FirstParagraph"/>
        <w:spacing w:after="120"/>
      </w:pPr>
      <w:r>
        <w:rPr>
          <w:b/>
          <w:bCs/>
        </w:rPr>
        <w:t>Table 4. Data sources by SAM block</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5229"/>
        <w:gridCol w:w="4347"/>
      </w:tblGrid>
      <w:tr w:rsidR="00540C1D" w14:paraId="7BBDE3E8" w14:textId="77777777" w:rsidTr="00540C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E1A2DA" w14:textId="77777777" w:rsidR="00540C1D" w:rsidRDefault="00000000">
            <w:pPr>
              <w:pStyle w:val="Compact"/>
              <w:spacing w:after="0"/>
            </w:pPr>
            <w:r>
              <w:rPr>
                <w:sz w:val="18"/>
              </w:rPr>
              <w:t>SAM block</w:t>
            </w:r>
          </w:p>
        </w:tc>
        <w:tc>
          <w:tcPr>
            <w:tcW w:w="0" w:type="auto"/>
          </w:tcPr>
          <w:p w14:paraId="63317762" w14:textId="77777777" w:rsidR="00540C1D" w:rsidRDefault="00000000">
            <w:pPr>
              <w:pStyle w:val="Compact"/>
              <w:spacing w:after="0"/>
            </w:pPr>
            <w:r>
              <w:rPr>
                <w:sz w:val="18"/>
              </w:rPr>
              <w:t>Source</w:t>
            </w:r>
          </w:p>
        </w:tc>
      </w:tr>
      <w:tr w:rsidR="00540C1D" w14:paraId="20B6AEB6" w14:textId="77777777">
        <w:tc>
          <w:tcPr>
            <w:tcW w:w="0" w:type="auto"/>
          </w:tcPr>
          <w:p w14:paraId="3EDD3E68" w14:textId="77777777" w:rsidR="00540C1D" w:rsidRDefault="00000000">
            <w:pPr>
              <w:pStyle w:val="Compact"/>
              <w:spacing w:after="0"/>
            </w:pPr>
            <w:r>
              <w:rPr>
                <w:sz w:val="18"/>
              </w:rPr>
              <w:t>Intermediate use, gross output, value added, final demand, imports, exports, product taxes</w:t>
            </w:r>
          </w:p>
        </w:tc>
        <w:tc>
          <w:tcPr>
            <w:tcW w:w="0" w:type="auto"/>
          </w:tcPr>
          <w:p w14:paraId="48AFF0D3" w14:textId="77777777" w:rsidR="00540C1D" w:rsidRDefault="00000000">
            <w:pPr>
              <w:pStyle w:val="Compact"/>
              <w:spacing w:after="0"/>
            </w:pPr>
            <w:r>
              <w:rPr>
                <w:sz w:val="18"/>
              </w:rPr>
              <w:t>PBS Input-Output table 2015-16 (68 industries, basic prices)</w:t>
            </w:r>
          </w:p>
        </w:tc>
      </w:tr>
      <w:tr w:rsidR="00540C1D" w14:paraId="06F8F6E5" w14:textId="77777777">
        <w:tc>
          <w:tcPr>
            <w:tcW w:w="0" w:type="auto"/>
          </w:tcPr>
          <w:p w14:paraId="1B5950B7" w14:textId="77777777" w:rsidR="00540C1D" w:rsidRDefault="00000000">
            <w:pPr>
              <w:pStyle w:val="Compact"/>
              <w:spacing w:after="0"/>
            </w:pPr>
            <w:r>
              <w:rPr>
                <w:sz w:val="18"/>
              </w:rPr>
              <w:t>Labour vs capital split of value added</w:t>
            </w:r>
          </w:p>
        </w:tc>
        <w:tc>
          <w:tcPr>
            <w:tcW w:w="0" w:type="auto"/>
          </w:tcPr>
          <w:p w14:paraId="4C7A32BA" w14:textId="77777777" w:rsidR="00540C1D" w:rsidRDefault="00000000">
            <w:pPr>
              <w:pStyle w:val="Compact"/>
              <w:spacing w:after="0"/>
            </w:pPr>
            <w:r>
              <w:rPr>
                <w:sz w:val="18"/>
              </w:rPr>
              <w:t>PBS Labour Force Survey 2014-15 (employment and wages by industry)</w:t>
            </w:r>
          </w:p>
        </w:tc>
      </w:tr>
      <w:tr w:rsidR="00540C1D" w14:paraId="1FC0295F" w14:textId="77777777">
        <w:tc>
          <w:tcPr>
            <w:tcW w:w="0" w:type="auto"/>
          </w:tcPr>
          <w:p w14:paraId="18246332" w14:textId="77777777" w:rsidR="00540C1D" w:rsidRDefault="00000000">
            <w:pPr>
              <w:pStyle w:val="Compact"/>
              <w:spacing w:after="0"/>
            </w:pPr>
            <w:r>
              <w:rPr>
                <w:sz w:val="18"/>
              </w:rPr>
              <w:t>Urban/rural split of income and consumption</w:t>
            </w:r>
          </w:p>
        </w:tc>
        <w:tc>
          <w:tcPr>
            <w:tcW w:w="0" w:type="auto"/>
          </w:tcPr>
          <w:p w14:paraId="46FE2AE3" w14:textId="77777777" w:rsidR="00540C1D" w:rsidRDefault="00000000">
            <w:pPr>
              <w:pStyle w:val="Compact"/>
              <w:spacing w:after="0"/>
            </w:pPr>
            <w:r>
              <w:rPr>
                <w:sz w:val="18"/>
              </w:rPr>
              <w:t>PBS HIES 2015-16</w:t>
            </w:r>
          </w:p>
        </w:tc>
      </w:tr>
      <w:tr w:rsidR="00540C1D" w14:paraId="6586B5A8" w14:textId="77777777">
        <w:tc>
          <w:tcPr>
            <w:tcW w:w="0" w:type="auto"/>
          </w:tcPr>
          <w:p w14:paraId="29FFF25C" w14:textId="77777777" w:rsidR="00540C1D" w:rsidRDefault="00000000">
            <w:pPr>
              <w:pStyle w:val="Compact"/>
              <w:spacing w:after="0"/>
            </w:pPr>
            <w:r>
              <w:rPr>
                <w:sz w:val="18"/>
              </w:rPr>
              <w:t>Direct taxes, pensions, interest</w:t>
            </w:r>
          </w:p>
        </w:tc>
        <w:tc>
          <w:tcPr>
            <w:tcW w:w="0" w:type="auto"/>
          </w:tcPr>
          <w:p w14:paraId="5B018CE3" w14:textId="77777777" w:rsidR="00540C1D" w:rsidRDefault="00000000">
            <w:pPr>
              <w:pStyle w:val="Compact"/>
              <w:spacing w:after="0"/>
            </w:pPr>
            <w:r>
              <w:rPr>
                <w:sz w:val="18"/>
              </w:rPr>
              <w:t>MoF fiscal operations FY16</w:t>
            </w:r>
          </w:p>
        </w:tc>
      </w:tr>
      <w:tr w:rsidR="00540C1D" w14:paraId="7D2A62A0" w14:textId="77777777">
        <w:tc>
          <w:tcPr>
            <w:tcW w:w="0" w:type="auto"/>
          </w:tcPr>
          <w:p w14:paraId="7BF3DC06" w14:textId="77777777" w:rsidR="00540C1D" w:rsidRDefault="00000000">
            <w:pPr>
              <w:pStyle w:val="Compact"/>
              <w:spacing w:after="0"/>
            </w:pPr>
            <w:r>
              <w:rPr>
                <w:sz w:val="18"/>
              </w:rPr>
              <w:t>Workers’ remittances, current account</w:t>
            </w:r>
          </w:p>
        </w:tc>
        <w:tc>
          <w:tcPr>
            <w:tcW w:w="0" w:type="auto"/>
          </w:tcPr>
          <w:p w14:paraId="554CC4E5" w14:textId="77777777" w:rsidR="00540C1D" w:rsidRDefault="00000000">
            <w:pPr>
              <w:pStyle w:val="Compact"/>
              <w:spacing w:after="0"/>
            </w:pPr>
            <w:r>
              <w:rPr>
                <w:sz w:val="18"/>
              </w:rPr>
              <w:t>SBP balance of payments FY16</w:t>
            </w:r>
          </w:p>
        </w:tc>
      </w:tr>
    </w:tbl>
    <w:p w14:paraId="5E16815E" w14:textId="77777777" w:rsidR="00540C1D" w:rsidRDefault="00000000">
      <w:pPr>
        <w:pStyle w:val="Heading2"/>
        <w:spacing w:after="120"/>
      </w:pPr>
      <w:bookmarkStart w:id="19" w:name="key-construction-steps"/>
      <w:bookmarkEnd w:id="18"/>
      <w:r>
        <w:t>4.3 Key construction steps</w:t>
      </w:r>
    </w:p>
    <w:p w14:paraId="603C9F2A" w14:textId="77777777" w:rsidR="008423E2" w:rsidRDefault="00000000" w:rsidP="00FA3D3D">
      <w:pPr>
        <w:pStyle w:val="FirstParagraph"/>
        <w:spacing w:after="120" w:line="360" w:lineRule="auto"/>
        <w:jc w:val="both"/>
      </w:pPr>
      <w:r>
        <w:rPr>
          <w:b/>
          <w:bCs/>
        </w:rPr>
        <w:t>Aggregation.</w:t>
      </w:r>
      <w:r>
        <w:t xml:space="preserve"> </w:t>
      </w:r>
      <w:r w:rsidR="008423E2" w:rsidRPr="008423E2">
        <w:t>The IO table for 68 industries are aggregated to four sectors. The table shows that for the various sectors, intermediate use and final demand are equal to gross output, minus imports.</w:t>
      </w:r>
    </w:p>
    <w:p w14:paraId="644092B2" w14:textId="2A9D3980" w:rsidR="008423E2" w:rsidRDefault="00000000" w:rsidP="00FA3D3D">
      <w:pPr>
        <w:pStyle w:val="FirstParagraph"/>
        <w:spacing w:after="120" w:line="360" w:lineRule="auto"/>
        <w:jc w:val="both"/>
      </w:pPr>
      <w:r>
        <w:rPr>
          <w:b/>
          <w:bCs/>
        </w:rPr>
        <w:lastRenderedPageBreak/>
        <w:t>Factor split.</w:t>
      </w:r>
      <w:r>
        <w:t xml:space="preserve"> </w:t>
      </w:r>
      <w:r w:rsidR="008423E2" w:rsidRPr="008423E2">
        <w:t xml:space="preserve">Compensation of employees does not determine helicopter selection for publication by PBS. </w:t>
      </w:r>
      <w:r w:rsidR="00FA3D3D" w:rsidRPr="008423E2">
        <w:t>Labor</w:t>
      </w:r>
      <w:r w:rsidR="008423E2" w:rsidRPr="008423E2">
        <w:t xml:space="preserve"> income is estimated to be the LFS 2014-15 employment X average monthly wage X 12. Self-employed individuals' value is calculated in the wage-rates of the respective industry of the employee. Capital income is defined as GVA - labor income. Economy-wide, the shares of </w:t>
      </w:r>
      <w:r w:rsidR="00FA3D3D" w:rsidRPr="008423E2">
        <w:t>labor</w:t>
      </w:r>
      <w:r w:rsidR="008423E2" w:rsidRPr="008423E2">
        <w:t xml:space="preserve"> are 27% in the economy, 31% in Agriculture, 5% in Energy, 41% in Manufacturing and 25% in Services.</w:t>
      </w:r>
    </w:p>
    <w:p w14:paraId="39FF4115" w14:textId="22686110" w:rsidR="008423E2" w:rsidRDefault="00000000" w:rsidP="00FA3D3D">
      <w:pPr>
        <w:pStyle w:val="FirstParagraph"/>
        <w:spacing w:after="120" w:line="360" w:lineRule="auto"/>
        <w:jc w:val="both"/>
      </w:pPr>
      <w:r>
        <w:rPr>
          <w:b/>
          <w:bCs/>
        </w:rPr>
        <w:t>Household split.</w:t>
      </w:r>
      <w:r>
        <w:t xml:space="preserve"> </w:t>
      </w:r>
      <w:r w:rsidR="008423E2" w:rsidRPr="008423E2">
        <w:t xml:space="preserve">Factors are related to sources of income in HIES. Wages plus two-thirds of self-employment income go to </w:t>
      </w:r>
      <w:r w:rsidR="00FA3D3D" w:rsidRPr="008423E2">
        <w:t>labor</w:t>
      </w:r>
      <w:r w:rsidR="008423E2" w:rsidRPr="008423E2">
        <w:t xml:space="preserve">, following Gollin (2002). The proportion of capital of self-employment income, property income and owner-occupied housing is one-third. </w:t>
      </w:r>
      <w:r w:rsidR="00FA3D3D" w:rsidRPr="008423E2">
        <w:t>Labor</w:t>
      </w:r>
      <w:r w:rsidR="008423E2" w:rsidRPr="008423E2">
        <w:t xml:space="preserve"> income in urban </w:t>
      </w:r>
      <w:proofErr w:type="gramStart"/>
      <w:r w:rsidR="008423E2" w:rsidRPr="008423E2">
        <w:t>households</w:t>
      </w:r>
      <w:proofErr w:type="gramEnd"/>
      <w:r w:rsidR="008423E2" w:rsidRPr="008423E2">
        <w:t xml:space="preserve"> accounts for 49% of total household </w:t>
      </w:r>
      <w:r w:rsidR="00FA3D3D" w:rsidRPr="008423E2">
        <w:t>labor</w:t>
      </w:r>
      <w:r w:rsidR="008423E2" w:rsidRPr="008423E2">
        <w:t xml:space="preserve"> income and capital income accounts for 47% of urban households' capital income.</w:t>
      </w:r>
    </w:p>
    <w:p w14:paraId="22CA382F" w14:textId="77777777" w:rsidR="008423E2" w:rsidRDefault="00000000" w:rsidP="00FA3D3D">
      <w:pPr>
        <w:pStyle w:val="FirstParagraph"/>
        <w:spacing w:after="120" w:line="360" w:lineRule="auto"/>
        <w:jc w:val="both"/>
      </w:pPr>
      <w:r>
        <w:rPr>
          <w:b/>
          <w:bCs/>
        </w:rPr>
        <w:t>Institutions.</w:t>
      </w:r>
      <w:r>
        <w:t xml:space="preserve"> </w:t>
      </w:r>
      <w:r w:rsidR="008423E2" w:rsidRPr="008423E2">
        <w:t>Product taxes and direct taxes (MoF) goes to the government. It is used for consumption, pensions and interest payments. Remittances also have an impact on household income from the Rest of World, coming into households in the same proportion, 36% urban and 64% rural, in total US$19.9 billion.</w:t>
      </w:r>
    </w:p>
    <w:p w14:paraId="49042C15" w14:textId="23563E77" w:rsidR="008423E2" w:rsidRDefault="00000000" w:rsidP="00FA3D3D">
      <w:pPr>
        <w:pStyle w:val="FirstParagraph"/>
        <w:spacing w:after="120" w:line="360" w:lineRule="auto"/>
        <w:jc w:val="both"/>
      </w:pPr>
      <w:r>
        <w:rPr>
          <w:b/>
          <w:bCs/>
        </w:rPr>
        <w:t>Balancing.</w:t>
      </w:r>
      <w:r>
        <w:t xml:space="preserve"> </w:t>
      </w:r>
      <w:bookmarkStart w:id="20" w:name="validation"/>
      <w:bookmarkEnd w:id="19"/>
      <w:r w:rsidR="008423E2" w:rsidRPr="008423E2">
        <w:t xml:space="preserve">Savings of households, government and the Rest of World are residuals. The total of the 15 accounts </w:t>
      </w:r>
      <w:r w:rsidR="00FA3D3D" w:rsidRPr="008423E2">
        <w:t>is</w:t>
      </w:r>
      <w:r w:rsidR="008423E2" w:rsidRPr="008423E2">
        <w:t xml:space="preserve"> balanced whereby row and column totals do not vary by more than around value (PKR 0.1m).</w:t>
      </w:r>
    </w:p>
    <w:p w14:paraId="217A6330" w14:textId="7FA71CAE" w:rsidR="00540C1D" w:rsidRPr="008423E2" w:rsidRDefault="00000000" w:rsidP="008423E2">
      <w:pPr>
        <w:pStyle w:val="FirstParagraph"/>
        <w:spacing w:after="120"/>
        <w:rPr>
          <w:rFonts w:asciiTheme="majorHAnsi" w:eastAsiaTheme="majorEastAsia" w:hAnsiTheme="majorHAnsi" w:cstheme="majorBidi"/>
          <w:b/>
          <w:bCs/>
          <w:color w:val="000000"/>
          <w:sz w:val="28"/>
          <w:szCs w:val="28"/>
        </w:rPr>
      </w:pPr>
      <w:r w:rsidRPr="008423E2">
        <w:rPr>
          <w:rFonts w:asciiTheme="majorHAnsi" w:eastAsiaTheme="majorEastAsia" w:hAnsiTheme="majorHAnsi" w:cstheme="majorBidi"/>
          <w:b/>
          <w:bCs/>
          <w:color w:val="000000"/>
          <w:sz w:val="28"/>
          <w:szCs w:val="28"/>
        </w:rPr>
        <w:t>4.4 Validation</w:t>
      </w:r>
    </w:p>
    <w:p w14:paraId="6F3BDF0F" w14:textId="77777777" w:rsidR="00540C1D" w:rsidRDefault="00000000">
      <w:pPr>
        <w:pStyle w:val="FirstParagraph"/>
        <w:spacing w:after="120"/>
      </w:pPr>
      <w:r>
        <w:rPr>
          <w:b/>
          <w:bCs/>
        </w:rPr>
        <w:t>Table 5. SAM validation against official data</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86"/>
        <w:gridCol w:w="1396"/>
        <w:gridCol w:w="2042"/>
      </w:tblGrid>
      <w:tr w:rsidR="00540C1D" w14:paraId="7E51543B" w14:textId="77777777" w:rsidTr="00540C1D">
        <w:trPr>
          <w:cnfStyle w:val="100000000000" w:firstRow="1" w:lastRow="0" w:firstColumn="0" w:lastColumn="0" w:oddVBand="0" w:evenVBand="0" w:oddHBand="0" w:evenHBand="0" w:firstRowFirstColumn="0" w:firstRowLastColumn="0" w:lastRowFirstColumn="0" w:lastRowLastColumn="0"/>
          <w:tblHeader/>
        </w:trPr>
        <w:tc>
          <w:tcPr>
            <w:tcW w:w="0" w:type="auto"/>
          </w:tcPr>
          <w:p w14:paraId="66E92C3F" w14:textId="77777777" w:rsidR="00540C1D" w:rsidRDefault="00000000">
            <w:pPr>
              <w:pStyle w:val="Compact"/>
              <w:spacing w:after="0"/>
            </w:pPr>
            <w:r>
              <w:rPr>
                <w:sz w:val="18"/>
              </w:rPr>
              <w:t>Check</w:t>
            </w:r>
          </w:p>
        </w:tc>
        <w:tc>
          <w:tcPr>
            <w:tcW w:w="0" w:type="auto"/>
          </w:tcPr>
          <w:p w14:paraId="1A535903" w14:textId="77777777" w:rsidR="00540C1D" w:rsidRDefault="00000000">
            <w:pPr>
              <w:pStyle w:val="Compact"/>
              <w:spacing w:after="0"/>
            </w:pPr>
            <w:r>
              <w:rPr>
                <w:sz w:val="18"/>
              </w:rPr>
              <w:t>SAM</w:t>
            </w:r>
          </w:p>
        </w:tc>
        <w:tc>
          <w:tcPr>
            <w:tcW w:w="0" w:type="auto"/>
          </w:tcPr>
          <w:p w14:paraId="0A8A7FB1" w14:textId="77777777" w:rsidR="00540C1D" w:rsidRDefault="00000000">
            <w:pPr>
              <w:pStyle w:val="Compact"/>
              <w:spacing w:after="0"/>
            </w:pPr>
            <w:r>
              <w:rPr>
                <w:sz w:val="18"/>
              </w:rPr>
              <w:t>Official</w:t>
            </w:r>
          </w:p>
        </w:tc>
      </w:tr>
      <w:tr w:rsidR="00540C1D" w14:paraId="2DD53619" w14:textId="77777777">
        <w:tc>
          <w:tcPr>
            <w:tcW w:w="0" w:type="auto"/>
          </w:tcPr>
          <w:p w14:paraId="11195EB6" w14:textId="77777777" w:rsidR="00540C1D" w:rsidRDefault="00000000">
            <w:pPr>
              <w:pStyle w:val="Compact"/>
              <w:spacing w:after="0"/>
            </w:pPr>
            <w:r>
              <w:rPr>
                <w:sz w:val="18"/>
              </w:rPr>
              <w:t>Government deficit</w:t>
            </w:r>
          </w:p>
        </w:tc>
        <w:tc>
          <w:tcPr>
            <w:tcW w:w="0" w:type="auto"/>
          </w:tcPr>
          <w:p w14:paraId="15532896" w14:textId="77777777" w:rsidR="00540C1D" w:rsidRDefault="00000000">
            <w:pPr>
              <w:pStyle w:val="Compact"/>
              <w:spacing w:after="0"/>
            </w:pPr>
            <w:r>
              <w:rPr>
                <w:sz w:val="18"/>
              </w:rPr>
              <w:t>PKR 1,549 bn</w:t>
            </w:r>
          </w:p>
        </w:tc>
        <w:tc>
          <w:tcPr>
            <w:tcW w:w="0" w:type="auto"/>
          </w:tcPr>
          <w:p w14:paraId="3248CC5F" w14:textId="77777777" w:rsidR="00540C1D" w:rsidRDefault="00000000">
            <w:pPr>
              <w:pStyle w:val="Compact"/>
              <w:spacing w:after="0"/>
            </w:pPr>
            <w:r>
              <w:rPr>
                <w:sz w:val="18"/>
              </w:rPr>
              <w:t>PKR 1,638 bn (federal)</w:t>
            </w:r>
          </w:p>
        </w:tc>
      </w:tr>
      <w:tr w:rsidR="00540C1D" w14:paraId="064EB0A1" w14:textId="77777777">
        <w:tc>
          <w:tcPr>
            <w:tcW w:w="0" w:type="auto"/>
          </w:tcPr>
          <w:p w14:paraId="678931E6" w14:textId="77777777" w:rsidR="00540C1D" w:rsidRDefault="00000000">
            <w:pPr>
              <w:pStyle w:val="Compact"/>
              <w:spacing w:after="0"/>
            </w:pPr>
            <w:r>
              <w:rPr>
                <w:sz w:val="18"/>
              </w:rPr>
              <w:t>Current account deficit</w:t>
            </w:r>
          </w:p>
        </w:tc>
        <w:tc>
          <w:tcPr>
            <w:tcW w:w="0" w:type="auto"/>
          </w:tcPr>
          <w:p w14:paraId="154C3613" w14:textId="77777777" w:rsidR="00540C1D" w:rsidRDefault="00000000">
            <w:pPr>
              <w:pStyle w:val="Compact"/>
              <w:spacing w:after="0"/>
            </w:pPr>
            <w:r>
              <w:rPr>
                <w:sz w:val="18"/>
              </w:rPr>
              <w:t>PKR 402 bn</w:t>
            </w:r>
          </w:p>
        </w:tc>
        <w:tc>
          <w:tcPr>
            <w:tcW w:w="0" w:type="auto"/>
          </w:tcPr>
          <w:p w14:paraId="27C33180" w14:textId="77777777" w:rsidR="00540C1D" w:rsidRDefault="00000000">
            <w:pPr>
              <w:pStyle w:val="Compact"/>
              <w:spacing w:after="0"/>
            </w:pPr>
            <w:r>
              <w:rPr>
                <w:sz w:val="18"/>
              </w:rPr>
              <w:t>PKR 353 bn (US$3.4 bn)</w:t>
            </w:r>
          </w:p>
        </w:tc>
      </w:tr>
      <w:tr w:rsidR="00540C1D" w14:paraId="4D0A40EB" w14:textId="77777777">
        <w:tc>
          <w:tcPr>
            <w:tcW w:w="0" w:type="auto"/>
          </w:tcPr>
          <w:p w14:paraId="13DABBA6" w14:textId="77777777" w:rsidR="00540C1D" w:rsidRDefault="00000000">
            <w:pPr>
              <w:pStyle w:val="Compact"/>
              <w:spacing w:after="0"/>
            </w:pPr>
            <w:r>
              <w:rPr>
                <w:sz w:val="18"/>
              </w:rPr>
              <w:t>Urban vs rural saving rate</w:t>
            </w:r>
          </w:p>
        </w:tc>
        <w:tc>
          <w:tcPr>
            <w:tcW w:w="0" w:type="auto"/>
          </w:tcPr>
          <w:p w14:paraId="495D9AC2" w14:textId="77777777" w:rsidR="00540C1D" w:rsidRDefault="00000000">
            <w:pPr>
              <w:pStyle w:val="Compact"/>
              <w:spacing w:after="0"/>
            </w:pPr>
            <w:r>
              <w:rPr>
                <w:sz w:val="18"/>
              </w:rPr>
              <w:t>18.9% vs 18.6%</w:t>
            </w:r>
          </w:p>
        </w:tc>
        <w:tc>
          <w:tcPr>
            <w:tcW w:w="0" w:type="auto"/>
          </w:tcPr>
          <w:p w14:paraId="2706DAF2" w14:textId="77777777" w:rsidR="00540C1D" w:rsidRDefault="00000000">
            <w:pPr>
              <w:pStyle w:val="Compact"/>
              <w:spacing w:after="0"/>
            </w:pPr>
            <w:r>
              <w:rPr>
                <w:sz w:val="18"/>
              </w:rPr>
              <w:t>Similar in HIES</w:t>
            </w:r>
          </w:p>
        </w:tc>
      </w:tr>
    </w:tbl>
    <w:p w14:paraId="49B5D9D8" w14:textId="77777777" w:rsidR="00015800" w:rsidRDefault="00015800"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21" w:name="limitations"/>
      <w:bookmarkEnd w:id="20"/>
      <w:r w:rsidRPr="00015800">
        <w:rPr>
          <w:rFonts w:ascii="Times New Roman" w:eastAsia="Times New Roman" w:hAnsi="Times New Roman" w:cs="Times New Roman"/>
          <w:b w:val="0"/>
          <w:bCs w:val="0"/>
          <w:color w:val="auto"/>
          <w:sz w:val="22"/>
          <w:szCs w:val="24"/>
        </w:rPr>
        <w:lastRenderedPageBreak/>
        <w:t>There aren't that many gaps, and the ones that do exist originate in provincial accounts and sources of primary income which the SAM does not break up.</w:t>
      </w:r>
    </w:p>
    <w:p w14:paraId="6B57C20E" w14:textId="1CD24536" w:rsidR="00540C1D" w:rsidRDefault="00000000">
      <w:pPr>
        <w:pStyle w:val="Heading2"/>
        <w:spacing w:after="120"/>
      </w:pPr>
      <w:r>
        <w:t>4.5 Limitations</w:t>
      </w:r>
    </w:p>
    <w:p w14:paraId="11AF743B" w14:textId="7C2EE4D7" w:rsidR="00015800" w:rsidRDefault="00015800" w:rsidP="00FA3D3D">
      <w:pPr>
        <w:pStyle w:val="Heading1"/>
        <w:spacing w:after="120" w:line="360" w:lineRule="auto"/>
        <w:rPr>
          <w:rFonts w:ascii="Times New Roman" w:eastAsia="Times New Roman" w:hAnsi="Times New Roman" w:cs="Times New Roman"/>
          <w:b w:val="0"/>
          <w:bCs w:val="0"/>
          <w:color w:val="auto"/>
          <w:sz w:val="22"/>
          <w:szCs w:val="24"/>
        </w:rPr>
      </w:pPr>
      <w:bookmarkStart w:id="22" w:name="the-cge-model"/>
      <w:bookmarkEnd w:id="16"/>
      <w:bookmarkEnd w:id="21"/>
      <w:r w:rsidRPr="00015800">
        <w:rPr>
          <w:rFonts w:ascii="Times New Roman" w:eastAsia="Times New Roman" w:hAnsi="Times New Roman" w:cs="Times New Roman"/>
          <w:b w:val="0"/>
          <w:bCs w:val="0"/>
          <w:color w:val="auto"/>
          <w:sz w:val="22"/>
          <w:szCs w:val="24"/>
        </w:rPr>
        <w:t xml:space="preserve">The SAM has four sectors, one </w:t>
      </w:r>
      <w:r w:rsidR="00FA3D3D" w:rsidRPr="00015800">
        <w:rPr>
          <w:rFonts w:ascii="Times New Roman" w:eastAsia="Times New Roman" w:hAnsi="Times New Roman" w:cs="Times New Roman"/>
          <w:b w:val="0"/>
          <w:bCs w:val="0"/>
          <w:color w:val="auto"/>
          <w:sz w:val="22"/>
          <w:szCs w:val="24"/>
        </w:rPr>
        <w:t>labor</w:t>
      </w:r>
      <w:r w:rsidRPr="00015800">
        <w:rPr>
          <w:rFonts w:ascii="Times New Roman" w:eastAsia="Times New Roman" w:hAnsi="Times New Roman" w:cs="Times New Roman"/>
          <w:b w:val="0"/>
          <w:bCs w:val="0"/>
          <w:color w:val="auto"/>
          <w:sz w:val="22"/>
          <w:szCs w:val="24"/>
        </w:rPr>
        <w:t xml:space="preserve"> type and two household groups. The energy </w:t>
      </w:r>
      <w:r w:rsidR="00FA3D3D" w:rsidRPr="00015800">
        <w:rPr>
          <w:rFonts w:ascii="Times New Roman" w:eastAsia="Times New Roman" w:hAnsi="Times New Roman" w:cs="Times New Roman"/>
          <w:b w:val="0"/>
          <w:bCs w:val="0"/>
          <w:color w:val="auto"/>
          <w:sz w:val="22"/>
          <w:szCs w:val="24"/>
        </w:rPr>
        <w:t>labor</w:t>
      </w:r>
      <w:r w:rsidRPr="00015800">
        <w:rPr>
          <w:rFonts w:ascii="Times New Roman" w:eastAsia="Times New Roman" w:hAnsi="Times New Roman" w:cs="Times New Roman"/>
          <w:b w:val="0"/>
          <w:bCs w:val="0"/>
          <w:color w:val="auto"/>
          <w:sz w:val="22"/>
          <w:szCs w:val="24"/>
        </w:rPr>
        <w:t xml:space="preserve"> share is based on an assumed share of employment as the LFS classifies energy with finance. In Section 8, we will test this. The saving rates are approximately double those found for HIES for two reasons: the first is the under-reporting of financial income in the survey; and the second is that non-profit institutions are included in the household account.</w:t>
      </w:r>
    </w:p>
    <w:p w14:paraId="7C0F7F59" w14:textId="6529DA7A" w:rsidR="00540C1D" w:rsidRDefault="00000000">
      <w:pPr>
        <w:pStyle w:val="Heading1"/>
        <w:spacing w:after="120"/>
      </w:pPr>
      <w:r>
        <w:t>5. The CGE model</w:t>
      </w:r>
    </w:p>
    <w:p w14:paraId="40BA0138" w14:textId="77777777" w:rsidR="00015800" w:rsidRDefault="00015800"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23" w:name="production"/>
      <w:r w:rsidRPr="00015800">
        <w:rPr>
          <w:rFonts w:ascii="Times New Roman" w:eastAsia="Times New Roman" w:hAnsi="Times New Roman" w:cs="Times New Roman"/>
          <w:b w:val="0"/>
          <w:bCs w:val="0"/>
          <w:color w:val="auto"/>
          <w:sz w:val="22"/>
          <w:szCs w:val="24"/>
        </w:rPr>
        <w:t xml:space="preserve">The model is a simple, single country CGE model of the MIMAP type including two households and trade in the open economy. It consists of 77 equations and 77 variables, is coded in GAMS and solves it via CONOPT. All quantities are in PKR trillion 2015-16 prices, where all base prices equal to one. </w:t>
      </w:r>
    </w:p>
    <w:p w14:paraId="7866D770" w14:textId="2F3288E2" w:rsidR="00540C1D" w:rsidRDefault="00000000">
      <w:pPr>
        <w:pStyle w:val="Heading2"/>
        <w:spacing w:after="120"/>
      </w:pPr>
      <w:r>
        <w:t>5.1 Production</w:t>
      </w:r>
    </w:p>
    <w:p w14:paraId="1C63E8B0" w14:textId="77777777" w:rsidR="00540C1D" w:rsidRDefault="00000000">
      <w:pPr>
        <w:pStyle w:val="FirstParagraph"/>
        <w:spacing w:after="120"/>
      </w:pPr>
      <w:r>
        <w:t xml:space="preserve">Each sector </w:t>
      </w:r>
      <m:oMath>
        <m:r>
          <w:rPr>
            <w:rFonts w:ascii="Cambria Math" w:hAnsi="Cambria Math"/>
          </w:rPr>
          <m:t>i</m:t>
        </m:r>
      </m:oMath>
      <w:r>
        <w:t xml:space="preserve"> uses fixed shares of intermediate inputs and value added (Leontief):</w:t>
      </w:r>
    </w:p>
    <w:p w14:paraId="3FE26B4C" w14:textId="77777777" w:rsidR="00540C1D" w:rsidRDefault="00000000">
      <w:pPr>
        <w:pStyle w:val="BodyText"/>
        <w:spacing w:after="120"/>
      </w:pPr>
      <m:oMathPara>
        <m:oMathParaPr>
          <m:jc m:val="center"/>
        </m:oMathParaPr>
        <m:oMath>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  IN</m:t>
          </m:r>
          <m:sSub>
            <m:sSubPr>
              <m:ctrlPr>
                <w:rPr>
                  <w:rFonts w:ascii="Cambria Math" w:hAnsi="Cambria Math"/>
                </w:rPr>
              </m:ctrlPr>
            </m:sSubPr>
            <m:e>
              <m:r>
                <w:rPr>
                  <w:rFonts w:ascii="Cambria Math" w:hAnsi="Cambria Math"/>
                </w:rPr>
                <m:t>T</m:t>
              </m:r>
            </m:e>
            <m:sub>
              <m:r>
                <w:rPr>
                  <w:rFonts w:ascii="Cambria Math" w:hAnsi="Cambria Math"/>
                </w:rPr>
                <m:t>ji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ji</m:t>
              </m:r>
            </m:sub>
          </m:sSub>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6C3B27C3" w14:textId="77777777" w:rsidR="00540C1D" w:rsidRDefault="00000000">
      <w:pPr>
        <w:pStyle w:val="FirstParagraph"/>
        <w:spacing w:after="120"/>
      </w:pPr>
      <w:r>
        <w:t xml:space="preserve">Value added is Cobb-Douglas in labour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and sector-specific capital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i</m:t>
            </m:r>
          </m:sub>
        </m:sSub>
      </m:oMath>
      <w:r>
        <w:t>:</w:t>
      </w:r>
    </w:p>
    <w:p w14:paraId="347145EC" w14:textId="77777777" w:rsidR="00540C1D" w:rsidRDefault="00000000">
      <w:pPr>
        <w:pStyle w:val="BodyText"/>
        <w:spacing w:after="120"/>
      </w:pPr>
      <m:oMathPara>
        <m:oMathParaPr>
          <m:jc m:val="center"/>
        </m:oMathParaPr>
        <m:oMath>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Sup>
            <m:sSubSupPr>
              <m:ctrlPr>
                <w:rPr>
                  <w:rFonts w:ascii="Cambria Math" w:hAnsi="Cambria Math"/>
                </w:rPr>
              </m:ctrlPr>
            </m:sSubSupPr>
            <m:e>
              <m:r>
                <w:rPr>
                  <w:rFonts w:ascii="Cambria Math" w:hAnsi="Cambria Math"/>
                </w:rPr>
                <m:t>L</m:t>
              </m:r>
            </m:e>
            <m:sub>
              <m:r>
                <w:rPr>
                  <w:rFonts w:ascii="Cambria Math" w:hAnsi="Cambria Math"/>
                </w:rPr>
                <m:t>i</m:t>
              </m:r>
            </m:sub>
            <m:sup>
              <m:sSub>
                <m:sSubPr>
                  <m:ctrlPr>
                    <w:rPr>
                      <w:rFonts w:ascii="Cambria Math" w:hAnsi="Cambria Math"/>
                    </w:rPr>
                  </m:ctrlPr>
                </m:sSubPr>
                <m:e>
                  <m:r>
                    <w:rPr>
                      <w:rFonts w:ascii="Cambria Math" w:hAnsi="Cambria Math"/>
                    </w:rPr>
                    <m:t>α</m:t>
                  </m:r>
                </m:e>
                <m:sub>
                  <m:r>
                    <w:rPr>
                      <w:rFonts w:ascii="Cambria Math" w:hAnsi="Cambria Math"/>
                    </w:rPr>
                    <m:t>i</m:t>
                  </m:r>
                </m:sub>
              </m:sSub>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K</m:t>
                  </m:r>
                </m:e>
              </m:acc>
            </m:e>
            <m:sub>
              <m:r>
                <w:rPr>
                  <w:rFonts w:ascii="Cambria Math" w:hAnsi="Cambria Math"/>
                </w:rPr>
                <m:t>i</m:t>
              </m:r>
            </m:sub>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up>
          </m:sSubSup>
        </m:oMath>
      </m:oMathPara>
    </w:p>
    <w:p w14:paraId="78943FBB" w14:textId="77777777" w:rsidR="00540C1D" w:rsidRDefault="00000000">
      <w:pPr>
        <w:pStyle w:val="FirstParagraph"/>
        <w:spacing w:after="120"/>
      </w:pPr>
      <w:r>
        <w:t>Firms hire labour until its marginal value equals the wage, and capital earns the residual:</w:t>
      </w:r>
    </w:p>
    <w:p w14:paraId="6A5DD055" w14:textId="77777777" w:rsidR="00540C1D" w:rsidRDefault="00000000">
      <w:pPr>
        <w:pStyle w:val="BodyText"/>
        <w:spacing w:after="120"/>
      </w:pPr>
      <m:oMathPara>
        <m:oMathParaPr>
          <m:jc m:val="center"/>
        </m:oMathParaPr>
        <m:oMath>
          <m:r>
            <w:rPr>
              <w:rFonts w:ascii="Cambria Math" w:hAnsi="Cambria Math"/>
            </w:rPr>
            <m:t>W</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PV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r>
            <w:rPr>
              <w:rFonts w:ascii="Cambria Math" w:hAnsi="Cambria Math"/>
            </w:rPr>
            <m:t>PV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2C0E4032" w14:textId="77777777" w:rsidR="00540C1D" w:rsidRDefault="00000000">
      <w:pPr>
        <w:pStyle w:val="FirstParagraph"/>
        <w:spacing w:after="120"/>
      </w:pPr>
      <w:r>
        <w:t xml:space="preserve">Zero profit links the output price to input costs and the indirect tax rate </w:t>
      </w:r>
      <m:oMath>
        <m:sSub>
          <m:sSubPr>
            <m:ctrlPr>
              <w:rPr>
                <w:rFonts w:ascii="Cambria Math" w:hAnsi="Cambria Math"/>
              </w:rPr>
            </m:ctrlPr>
          </m:sSubPr>
          <m:e>
            <m:r>
              <w:rPr>
                <w:rFonts w:ascii="Cambria Math" w:hAnsi="Cambria Math"/>
              </w:rPr>
              <m:t>t</m:t>
            </m:r>
          </m:e>
          <m:sub>
            <m:r>
              <w:rPr>
                <w:rFonts w:ascii="Cambria Math" w:hAnsi="Cambria Math"/>
              </w:rPr>
              <m:t>i</m:t>
            </m:r>
          </m:sub>
        </m:sSub>
      </m:oMath>
      <w:r>
        <w:t>:</w:t>
      </w:r>
    </w:p>
    <w:p w14:paraId="39C1868C" w14:textId="77777777" w:rsidR="00540C1D" w:rsidRDefault="00000000">
      <w:pPr>
        <w:pStyle w:val="BodyText"/>
        <w:spacing w:after="120"/>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PV</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P</m:t>
              </m:r>
            </m:e>
          </m:nary>
          <m:sSub>
            <m:sSubPr>
              <m:ctrlPr>
                <w:rPr>
                  <w:rFonts w:ascii="Cambria Math" w:hAnsi="Cambria Math"/>
                </w:rPr>
              </m:ctrlPr>
            </m:sSubPr>
            <m:e>
              <m:r>
                <w:rPr>
                  <w:rFonts w:ascii="Cambria Math" w:hAnsi="Cambria Math"/>
                </w:rPr>
                <m:t>Q</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ji</m:t>
              </m:r>
            </m:sub>
          </m:sSub>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50536E2B" w14:textId="77777777" w:rsidR="00540C1D" w:rsidRDefault="00000000">
      <w:pPr>
        <w:pStyle w:val="FirstParagraph"/>
        <w:spacing w:after="120"/>
      </w:pPr>
      <w:r>
        <w:t>Capital is fixed by sector, so the model describes the short run of one to two years.</w:t>
      </w:r>
    </w:p>
    <w:p w14:paraId="2BB64223" w14:textId="77777777" w:rsidR="00540C1D" w:rsidRDefault="00000000">
      <w:pPr>
        <w:pStyle w:val="Heading2"/>
        <w:spacing w:after="120"/>
      </w:pPr>
      <w:bookmarkStart w:id="24" w:name="trade"/>
      <w:bookmarkEnd w:id="23"/>
      <w:r>
        <w:t>5.2 Trade</w:t>
      </w:r>
    </w:p>
    <w:p w14:paraId="0A13FC61" w14:textId="77777777" w:rsidR="00540C1D" w:rsidRDefault="00000000">
      <w:pPr>
        <w:pStyle w:val="FirstParagraph"/>
        <w:spacing w:after="120"/>
      </w:pPr>
      <w:r>
        <w:t xml:space="preserve">Producers split output between domestic sales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exports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through a CET function:</w:t>
      </w:r>
    </w:p>
    <w:p w14:paraId="3BC5C98A" w14:textId="77777777" w:rsidR="00540C1D" w:rsidRDefault="00000000">
      <w:pPr>
        <w:pStyle w:val="BodyText"/>
        <w:spacing w:after="12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sSubSup>
                    <m:sSubSupPr>
                      <m:ctrlPr>
                        <w:rPr>
                          <w:rFonts w:ascii="Cambria Math" w:hAnsi="Cambria Math"/>
                        </w:rPr>
                      </m:ctrlPr>
                    </m:sSubSupPr>
                    <m:e>
                      <m:r>
                        <w:rPr>
                          <w:rFonts w:ascii="Cambria Math" w:hAnsi="Cambria Math"/>
                        </w:rPr>
                        <m:t>E</m:t>
                      </m:r>
                    </m:e>
                    <m:sub>
                      <m:r>
                        <w:rPr>
                          <w:rFonts w:ascii="Cambria Math" w:hAnsi="Cambria Math"/>
                        </w:rPr>
                        <m:t>i</m:t>
                      </m:r>
                    </m:sub>
                    <m:sup>
                      <m:sSub>
                        <m:sSubPr>
                          <m:ctrlPr>
                            <w:rPr>
                              <w:rFonts w:ascii="Cambria Math" w:hAnsi="Cambria Math"/>
                            </w:rPr>
                          </m:ctrlPr>
                        </m:sSubPr>
                        <m:e>
                          <m:r>
                            <w:rPr>
                              <w:rFonts w:ascii="Cambria Math" w:hAnsi="Cambria Math"/>
                            </w:rPr>
                            <m:t>ρ</m:t>
                          </m:r>
                        </m:e>
                        <m:sub>
                          <m:r>
                            <w:rPr>
                              <w:rFonts w:ascii="Cambria Math" w:hAnsi="Cambria Math"/>
                            </w:rPr>
                            <m:t>i</m:t>
                          </m:r>
                        </m:sub>
                      </m:sSub>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e>
                  </m:d>
                  <m:sSubSup>
                    <m:sSubSupPr>
                      <m:ctrlPr>
                        <w:rPr>
                          <w:rFonts w:ascii="Cambria Math" w:hAnsi="Cambria Math"/>
                        </w:rPr>
                      </m:ctrlPr>
                    </m:sSubSupPr>
                    <m:e>
                      <m:r>
                        <w:rPr>
                          <w:rFonts w:ascii="Cambria Math" w:hAnsi="Cambria Math"/>
                        </w:rPr>
                        <m:t>D</m:t>
                      </m:r>
                    </m:e>
                    <m:sub>
                      <m:r>
                        <w:rPr>
                          <w:rFonts w:ascii="Cambria Math" w:hAnsi="Cambria Math"/>
                        </w:rPr>
                        <m:t>i</m:t>
                      </m:r>
                    </m:sub>
                    <m:sup>
                      <m:sSub>
                        <m:sSubPr>
                          <m:ctrlPr>
                            <w:rPr>
                              <w:rFonts w:ascii="Cambria Math" w:hAnsi="Cambria Math"/>
                            </w:rPr>
                          </m:ctrlPr>
                        </m:sSubPr>
                        <m:e>
                          <m:r>
                            <w:rPr>
                              <w:rFonts w:ascii="Cambria Math" w:hAnsi="Cambria Math"/>
                            </w:rPr>
                            <m:t>ρ</m:t>
                          </m:r>
                        </m:e>
                        <m:sub>
                          <m:r>
                            <w:rPr>
                              <w:rFonts w:ascii="Cambria Math" w:hAnsi="Cambria Math"/>
                            </w:rPr>
                            <m:t>i</m:t>
                          </m:r>
                        </m:sub>
                      </m:sSub>
                    </m:sup>
                  </m:sSubSup>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up>
          </m:sSup>
        </m:oMath>
      </m:oMathPara>
    </w:p>
    <w:p w14:paraId="2DD184BB" w14:textId="77777777" w:rsidR="00540C1D" w:rsidRDefault="00000000">
      <w:pPr>
        <w:pStyle w:val="FirstParagraph"/>
        <w:spacing w:after="120"/>
      </w:pPr>
      <w:r>
        <w:lastRenderedPageBreak/>
        <w:t xml:space="preserve">Buyers combine domestic goods and imports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into a composite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through an Armington CES function:</w:t>
      </w:r>
    </w:p>
    <w:p w14:paraId="59DDCC5A" w14:textId="77777777" w:rsidR="00540C1D" w:rsidRDefault="00000000">
      <w:pPr>
        <w:pStyle w:val="BodyText"/>
        <w:spacing w:after="12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e>
                  </m:d>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sup>
                  </m:sSubSup>
                </m:e>
              </m:d>
            </m:e>
            <m: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sup>
          </m:sSup>
        </m:oMath>
      </m:oMathPara>
    </w:p>
    <w:p w14:paraId="2CF59168" w14:textId="77777777" w:rsidR="00540C1D" w:rsidRDefault="00000000">
      <w:pPr>
        <w:pStyle w:val="FirstParagraph"/>
        <w:spacing w:after="120"/>
      </w:pPr>
      <w:r>
        <w:t xml:space="preserve">Pakistan is a small open economy. Import and export prices equal world prices times the exchange rate </w:t>
      </w:r>
      <m:oMath>
        <m:r>
          <w:rPr>
            <w:rFonts w:ascii="Cambria Math" w:hAnsi="Cambria Math"/>
          </w:rPr>
          <m:t>ER</m:t>
        </m:r>
      </m:oMath>
      <w:r>
        <w:t>:</w:t>
      </w:r>
    </w:p>
    <w:p w14:paraId="63D80E28" w14:textId="77777777" w:rsidR="00540C1D" w:rsidRDefault="00000000">
      <w:pPr>
        <w:pStyle w:val="BodyText"/>
        <w:spacing w:after="120"/>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ER</m:t>
          </m:r>
          <m:r>
            <m:rPr>
              <m:sty m:val="p"/>
            </m:rPr>
            <w:rPr>
              <w:rFonts w:ascii="Cambria Math" w:hAnsi="Cambria Math"/>
            </w:rPr>
            <m:t>⋅</m:t>
          </m:r>
          <m:r>
            <w:rPr>
              <w:rFonts w:ascii="Cambria Math" w:hAnsi="Cambria Math"/>
            </w:rPr>
            <m:t>pw</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  P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ER</m:t>
          </m:r>
          <m:r>
            <m:rPr>
              <m:sty m:val="p"/>
            </m:rPr>
            <w:rPr>
              <w:rFonts w:ascii="Cambria Math" w:hAnsi="Cambria Math"/>
            </w:rPr>
            <m:t>⋅</m:t>
          </m:r>
          <m:r>
            <w:rPr>
              <w:rFonts w:ascii="Cambria Math" w:hAnsi="Cambria Math"/>
            </w:rPr>
            <m:t>pw</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72A40A64" w14:textId="77777777" w:rsidR="00540C1D" w:rsidRDefault="00000000">
      <w:pPr>
        <w:pStyle w:val="FirstParagraph"/>
        <w:spacing w:after="120"/>
      </w:pPr>
      <w:r>
        <w:t xml:space="preserve">The Hormuz shock is a rise in the world price of energy imports, </w:t>
      </w:r>
      <m:oMath>
        <m:r>
          <w:rPr>
            <w:rFonts w:ascii="Cambria Math" w:hAnsi="Cambria Math"/>
          </w:rPr>
          <m:t>pw</m:t>
        </m:r>
        <m:sSub>
          <m:sSubPr>
            <m:ctrlPr>
              <w:rPr>
                <w:rFonts w:ascii="Cambria Math" w:hAnsi="Cambria Math"/>
              </w:rPr>
            </m:ctrlPr>
          </m:sSubPr>
          <m:e>
            <m:r>
              <w:rPr>
                <w:rFonts w:ascii="Cambria Math" w:hAnsi="Cambria Math"/>
              </w:rPr>
              <m:t>m</m:t>
            </m:r>
          </m:e>
          <m:sub>
            <m:r>
              <w:rPr>
                <w:rFonts w:ascii="Cambria Math" w:hAnsi="Cambria Math"/>
              </w:rPr>
              <m:t>Energy</m:t>
            </m:r>
          </m:sub>
        </m:sSub>
      </m:oMath>
      <w:r>
        <w:t>.</w:t>
      </w:r>
    </w:p>
    <w:p w14:paraId="1A2F93D1" w14:textId="77777777" w:rsidR="00540C1D" w:rsidRDefault="00000000">
      <w:pPr>
        <w:pStyle w:val="Heading2"/>
        <w:spacing w:after="120"/>
      </w:pPr>
      <w:bookmarkStart w:id="25" w:name="households"/>
      <w:bookmarkEnd w:id="24"/>
      <w:r>
        <w:t>5.3 Households</w:t>
      </w:r>
    </w:p>
    <w:p w14:paraId="2E468B93" w14:textId="77777777" w:rsidR="00540C1D" w:rsidRDefault="00000000">
      <w:pPr>
        <w:pStyle w:val="FirstParagraph"/>
        <w:spacing w:after="120"/>
      </w:pPr>
      <w:r>
        <w:t xml:space="preserve">Household </w:t>
      </w:r>
      <m:oMath>
        <m:r>
          <w:rPr>
            <w:rFonts w:ascii="Cambria Math" w:hAnsi="Cambria Math"/>
          </w:rPr>
          <m:t>h</m:t>
        </m:r>
      </m:oMath>
      <w:r>
        <w:t xml:space="preserve"> receives a share of labour and capital income, government transfers and remittances:</w:t>
      </w:r>
    </w:p>
    <w:p w14:paraId="6365474A" w14:textId="77777777" w:rsidR="00540C1D" w:rsidRDefault="00000000">
      <w:pPr>
        <w:pStyle w:val="BodyText"/>
        <w:spacing w:after="120"/>
      </w:pPr>
      <m:oMathPara>
        <m:oMathParaPr>
          <m:jc m:val="center"/>
        </m:oMathParaPr>
        <m:oMath>
          <m:r>
            <w:rPr>
              <w:rFonts w:ascii="Cambria Math" w:hAnsi="Cambria Math"/>
            </w:rPr>
            <m:t>Y</m:t>
          </m:r>
          <m:sSub>
            <m:sSubPr>
              <m:ctrlPr>
                <w:rPr>
                  <w:rFonts w:ascii="Cambria Math" w:hAnsi="Cambria Math"/>
                </w:rPr>
              </m:ctrlPr>
            </m:sSubPr>
            <m:e>
              <m:r>
                <w:rPr>
                  <w:rFonts w:ascii="Cambria Math" w:hAnsi="Cambria Math"/>
                </w:rPr>
                <m:t>H</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h</m:t>
              </m:r>
            </m:sub>
            <m:sup>
              <m:r>
                <w:rPr>
                  <w:rFonts w:ascii="Cambria Math" w:hAnsi="Cambria Math"/>
                </w:rPr>
                <m:t>L</m:t>
              </m:r>
            </m:sup>
          </m:sSubSup>
          <m:r>
            <w:rPr>
              <w:rFonts w:ascii="Cambria Math" w:hAnsi="Cambria Math"/>
            </w:rPr>
            <m:t>W</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h</m:t>
              </m:r>
            </m:sub>
            <m:sup>
              <m:r>
                <w:rPr>
                  <w:rFonts w:ascii="Cambria Math" w:hAnsi="Cambria Math"/>
                </w:rPr>
                <m:t>K</m:t>
              </m:r>
            </m:sup>
          </m:sSub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W</m:t>
              </m:r>
            </m:e>
          </m:nary>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i</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r>
            <w:rPr>
              <w:rFonts w:ascii="Cambria Math" w:hAnsi="Cambria Math"/>
            </w:rPr>
            <m:t>CPI</m:t>
          </m:r>
          <m:r>
            <m:rPr>
              <m:sty m:val="p"/>
            </m:rPr>
            <w:rPr>
              <w:rFonts w:ascii="Cambria Math" w:hAnsi="Cambria Math"/>
            </w:rPr>
            <m:t>+</m:t>
          </m:r>
          <m:r>
            <w:rPr>
              <w:rFonts w:ascii="Cambria Math" w:hAnsi="Cambria Math"/>
            </w:rPr>
            <m:t>RE</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r>
            <w:rPr>
              <w:rFonts w:ascii="Cambria Math" w:hAnsi="Cambria Math"/>
            </w:rPr>
            <m:t>ER</m:t>
          </m:r>
        </m:oMath>
      </m:oMathPara>
    </w:p>
    <w:p w14:paraId="3F6CC743" w14:textId="77777777" w:rsidR="00540C1D" w:rsidRDefault="00000000">
      <w:pPr>
        <w:pStyle w:val="FirstParagraph"/>
        <w:spacing w:after="120"/>
      </w:pPr>
      <w:r>
        <w:t>Households pay a fixed tax rate, save a fixed share, and spend the rest with Cobb-Douglas budget shares:</w:t>
      </w:r>
    </w:p>
    <w:p w14:paraId="4B2525F6" w14:textId="77777777" w:rsidR="00540C1D" w:rsidRDefault="00000000">
      <w:pPr>
        <w:pStyle w:val="BodyText"/>
        <w:spacing w:after="120"/>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ih</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ih</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e>
          </m:d>
          <m:r>
            <w:rPr>
              <w:rFonts w:ascii="Cambria Math" w:hAnsi="Cambria Math"/>
            </w:rPr>
            <m:t>Y</m:t>
          </m:r>
          <m:sSub>
            <m:sSubPr>
              <m:ctrlPr>
                <w:rPr>
                  <w:rFonts w:ascii="Cambria Math" w:hAnsi="Cambria Math"/>
                </w:rPr>
              </m:ctrlPr>
            </m:sSubPr>
            <m:e>
              <m:r>
                <w:rPr>
                  <w:rFonts w:ascii="Cambria Math" w:hAnsi="Cambria Math"/>
                </w:rPr>
                <m:t>H</m:t>
              </m:r>
            </m:e>
            <m:sub>
              <m:r>
                <w:rPr>
                  <w:rFonts w:ascii="Cambria Math" w:hAnsi="Cambria Math"/>
                </w:rPr>
                <m:t>h</m:t>
              </m:r>
            </m:sub>
          </m:sSub>
        </m:oMath>
      </m:oMathPara>
    </w:p>
    <w:p w14:paraId="6B2E394A" w14:textId="77777777" w:rsidR="00540C1D" w:rsidRDefault="00000000">
      <w:pPr>
        <w:pStyle w:val="Heading2"/>
        <w:spacing w:after="120"/>
      </w:pPr>
      <w:bookmarkStart w:id="26" w:name="Xe4ff186003eef8e24ea6ed1bbfa50fbc7a09eed"/>
      <w:bookmarkEnd w:id="25"/>
      <w:r>
        <w:t>5.4 Government, investment and the rest of the world</w:t>
      </w:r>
    </w:p>
    <w:p w14:paraId="6758AD70" w14:textId="77777777" w:rsidR="00540C1D" w:rsidRDefault="00000000" w:rsidP="00FA3D3D">
      <w:pPr>
        <w:pStyle w:val="FirstParagraph"/>
        <w:spacing w:after="120" w:line="360" w:lineRule="auto"/>
        <w:jc w:val="both"/>
      </w:pPr>
      <w:r>
        <w:t>Government revenue comes from indirect, direct, export and investment taxes. Real government consumption and transfers are fixed, so government saving adjusts.</w:t>
      </w:r>
    </w:p>
    <w:p w14:paraId="50028EB5" w14:textId="77777777" w:rsidR="00540C1D" w:rsidRDefault="00000000" w:rsidP="00FA3D3D">
      <w:pPr>
        <w:pStyle w:val="BodyText"/>
        <w:spacing w:after="120" w:line="360" w:lineRule="auto"/>
        <w:jc w:val="both"/>
      </w:pPr>
      <w:r>
        <w:t>Investment is savings-driven. Total savings from households, government and abroad is spent on investment goods in fixed value shares.</w:t>
      </w:r>
    </w:p>
    <w:p w14:paraId="0D299A9C" w14:textId="77777777" w:rsidR="00540C1D" w:rsidRDefault="00000000" w:rsidP="00FA3D3D">
      <w:pPr>
        <w:pStyle w:val="BodyText"/>
        <w:spacing w:after="120" w:line="360" w:lineRule="auto"/>
        <w:jc w:val="both"/>
      </w:pPr>
      <w:r>
        <w:t>Foreign savings are fixed in dollars. The exchange rate adjusts to balance the current account:</w:t>
      </w:r>
    </w:p>
    <w:p w14:paraId="101D18E2" w14:textId="77777777" w:rsidR="00540C1D" w:rsidRDefault="00000000">
      <w:pPr>
        <w:pStyle w:val="BodyText"/>
        <w:spacing w:after="12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ER</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p</m:t>
                    </m:r>
                  </m:e>
                </m:nary>
                <m:r>
                  <w:rPr>
                    <w:rFonts w:ascii="Cambria Math" w:hAnsi="Cambria Math"/>
                  </w:rPr>
                  <m:t>w</m:t>
                </m:r>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ER</m:t>
                </m:r>
                <m:r>
                  <m:rPr>
                    <m:sty m:val="p"/>
                  </m:rPr>
                  <w:rPr>
                    <w:rFonts w:ascii="Cambria Math" w:hAnsi="Cambria Math"/>
                  </w:rPr>
                  <m:t>⋅</m:t>
                </m:r>
                <m:r>
                  <w:rPr>
                    <w:rFonts w:ascii="Cambria Math" w:hAnsi="Cambria Math"/>
                  </w:rPr>
                  <m:t>FINT</m:t>
                </m:r>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te</m:t>
                    </m:r>
                  </m:e>
                </m:d>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P</m:t>
                    </m:r>
                  </m:e>
                </m:nary>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i</m:t>
                    </m:r>
                  </m:sub>
                </m:sSub>
              </m:e>
            </m:mr>
            <m:mr>
              <m:e/>
              <m:e>
                <m:r>
                  <w:rPr>
                    <w:rFonts w:ascii="Cambria Math" w:hAnsi="Cambria Math"/>
                  </w:rPr>
                  <m:t> </m:t>
                </m:r>
                <m:r>
                  <m:rPr>
                    <m:sty m:val="p"/>
                  </m:rPr>
                  <w:rPr>
                    <w:rFonts w:ascii="Cambria Math" w:hAnsi="Cambria Math"/>
                  </w:rPr>
                  <m:t>+</m:t>
                </m:r>
                <m:r>
                  <w:rPr>
                    <w:rFonts w:ascii="Cambria Math" w:hAnsi="Cambria Math"/>
                  </w:rPr>
                  <m:t>ER</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r>
                      <w:rPr>
                        <w:rFonts w:ascii="Cambria Math" w:hAnsi="Cambria Math"/>
                      </w:rPr>
                      <m:t>R</m:t>
                    </m:r>
                  </m:e>
                </m:nary>
                <m:r>
                  <w:rPr>
                    <w:rFonts w:ascii="Cambria Math" w:hAnsi="Cambria Math"/>
                  </w:rPr>
                  <m:t>E</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r>
                  <w:rPr>
                    <w:rFonts w:ascii="Cambria Math" w:hAnsi="Cambria Math"/>
                  </w:rPr>
                  <m:t>ER</m:t>
                </m:r>
                <m:r>
                  <m:rPr>
                    <m:sty m:val="p"/>
                  </m:rPr>
                  <w:rPr>
                    <w:rFonts w:ascii="Cambria Math" w:hAnsi="Cambria Math"/>
                  </w:rPr>
                  <m:t>⋅</m:t>
                </m:r>
                <m:bar>
                  <m:barPr>
                    <m:pos m:val="top"/>
                    <m:ctrlPr>
                      <w:rPr>
                        <w:rFonts w:ascii="Cambria Math" w:hAnsi="Cambria Math"/>
                      </w:rPr>
                    </m:ctrlPr>
                  </m:barPr>
                  <m:e>
                    <m:r>
                      <w:rPr>
                        <w:rFonts w:ascii="Cambria Math" w:hAnsi="Cambria Math"/>
                      </w:rPr>
                      <m:t>FSAV</m:t>
                    </m:r>
                  </m:e>
                </m:bar>
              </m:e>
            </m:mr>
          </m:m>
        </m:oMath>
      </m:oMathPara>
    </w:p>
    <w:p w14:paraId="47505125" w14:textId="77777777" w:rsidR="00540C1D" w:rsidRDefault="00000000">
      <w:pPr>
        <w:pStyle w:val="Heading2"/>
        <w:spacing w:after="120"/>
      </w:pPr>
      <w:bookmarkStart w:id="27" w:name="market-clearing-and-closure"/>
      <w:bookmarkEnd w:id="26"/>
      <w:r>
        <w:t>5.5 Market clearing and closure</w:t>
      </w:r>
    </w:p>
    <w:p w14:paraId="6F45D75F" w14:textId="77777777" w:rsidR="00540C1D" w:rsidRDefault="00000000">
      <w:pPr>
        <w:pStyle w:val="FirstParagraph"/>
        <w:spacing w:after="120"/>
      </w:pPr>
      <w:r>
        <w:t xml:space="preserve">Each composite good </w:t>
      </w:r>
      <w:proofErr w:type="gramStart"/>
      <w:r>
        <w:t>clears</w:t>
      </w:r>
      <w:proofErr w:type="gramEnd"/>
      <w:r>
        <w:t>:</w:t>
      </w:r>
    </w:p>
    <w:p w14:paraId="65645D08" w14:textId="77777777" w:rsidR="00540C1D" w:rsidRDefault="00000000">
      <w:pPr>
        <w:pStyle w:val="BodyText"/>
        <w:spacing w:after="12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r>
                <w:rPr>
                  <w:rFonts w:ascii="Cambria Math" w:hAnsi="Cambria Math"/>
                </w:rPr>
                <m:t>C</m:t>
              </m:r>
            </m:e>
          </m:nary>
          <m:sSub>
            <m:sSubPr>
              <m:ctrlPr>
                <w:rPr>
                  <w:rFonts w:ascii="Cambria Math" w:hAnsi="Cambria Math"/>
                </w:rPr>
              </m:ctrlPr>
            </m:sSubPr>
            <m:e>
              <m:r>
                <w:rPr>
                  <w:rFonts w:ascii="Cambria Math" w:hAnsi="Cambria Math"/>
                </w:rPr>
                <m:t>H</m:t>
              </m:r>
            </m:e>
            <m:sub>
              <m:r>
                <w:rPr>
                  <w:rFonts w:ascii="Cambria Math" w:hAnsi="Cambria Math"/>
                </w:rPr>
                <m:t>ih</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r>
            <m:rPr>
              <m:sty m:val="p"/>
            </m:rPr>
            <w:rPr>
              <w:rFonts w:ascii="Cambria Math" w:hAnsi="Cambria Math"/>
            </w:rPr>
            <m:t>+</m:t>
          </m:r>
          <m:r>
            <w:rPr>
              <w:rFonts w:ascii="Cambria Math" w:hAnsi="Cambria Math"/>
            </w:rPr>
            <m:t>IN</m:t>
          </m:r>
          <m:sSub>
            <m:sSubPr>
              <m:ctrlPr>
                <w:rPr>
                  <w:rFonts w:ascii="Cambria Math" w:hAnsi="Cambria Math"/>
                </w:rPr>
              </m:ctrlPr>
            </m:sSubPr>
            <m:e>
              <m:r>
                <w:rPr>
                  <w:rFonts w:ascii="Cambria Math" w:hAnsi="Cambria Math"/>
                </w:rPr>
                <m:t>V</m:t>
              </m:r>
            </m:e>
            <m:sub>
              <m:r>
                <w:rPr>
                  <w:rFonts w:ascii="Cambria Math" w:hAnsi="Cambria Math"/>
                </w:rPr>
                <m:t>i</m:t>
              </m:r>
            </m:sub>
          </m:sSub>
        </m:oMath>
      </m:oMathPara>
    </w:p>
    <w:p w14:paraId="5651F01E" w14:textId="77777777" w:rsidR="00540C1D" w:rsidRDefault="00000000" w:rsidP="00FA3D3D">
      <w:pPr>
        <w:pStyle w:val="FirstParagraph"/>
        <w:spacing w:after="120" w:line="360" w:lineRule="auto"/>
        <w:jc w:val="both"/>
      </w:pPr>
      <w:r>
        <w:t>The CPI is the numeraire, fixed at one. A Walras slack variable confirms that the system is consistent, and it equals zero in every solution.</w:t>
      </w:r>
    </w:p>
    <w:p w14:paraId="2075A48A" w14:textId="77777777" w:rsidR="00540C1D" w:rsidRDefault="00000000" w:rsidP="00FA3D3D">
      <w:pPr>
        <w:pStyle w:val="BodyText"/>
        <w:spacing w:after="120" w:line="360" w:lineRule="auto"/>
        <w:jc w:val="both"/>
      </w:pPr>
      <w:r>
        <w:t>We use two labour-market closures:</w:t>
      </w:r>
    </w:p>
    <w:p w14:paraId="5C35FC5A" w14:textId="77777777" w:rsidR="00540C1D" w:rsidRDefault="00000000">
      <w:pPr>
        <w:pStyle w:val="BodyText"/>
        <w:spacing w:after="120"/>
      </w:pPr>
      <w:r>
        <w:rPr>
          <w:b/>
          <w:bCs/>
        </w:rPr>
        <w:lastRenderedPageBreak/>
        <w:t>Table 6. Labour-market closures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798"/>
        <w:gridCol w:w="2324"/>
        <w:gridCol w:w="4454"/>
      </w:tblGrid>
      <w:tr w:rsidR="00540C1D" w14:paraId="143F4E45" w14:textId="77777777" w:rsidTr="00540C1D">
        <w:trPr>
          <w:cnfStyle w:val="100000000000" w:firstRow="1" w:lastRow="0" w:firstColumn="0" w:lastColumn="0" w:oddVBand="0" w:evenVBand="0" w:oddHBand="0" w:evenHBand="0" w:firstRowFirstColumn="0" w:firstRowLastColumn="0" w:lastRowFirstColumn="0" w:lastRowLastColumn="0"/>
          <w:tblHeader/>
        </w:trPr>
        <w:tc>
          <w:tcPr>
            <w:tcW w:w="0" w:type="auto"/>
          </w:tcPr>
          <w:p w14:paraId="1E1EE7B5" w14:textId="77777777" w:rsidR="00540C1D" w:rsidRDefault="00000000">
            <w:pPr>
              <w:pStyle w:val="Compact"/>
              <w:spacing w:after="0"/>
            </w:pPr>
            <w:r>
              <w:rPr>
                <w:sz w:val="18"/>
              </w:rPr>
              <w:t>Closure</w:t>
            </w:r>
          </w:p>
        </w:tc>
        <w:tc>
          <w:tcPr>
            <w:tcW w:w="0" w:type="auto"/>
          </w:tcPr>
          <w:p w14:paraId="22ABCA85" w14:textId="77777777" w:rsidR="00540C1D" w:rsidRDefault="00000000">
            <w:pPr>
              <w:pStyle w:val="Compact"/>
              <w:spacing w:after="0"/>
            </w:pPr>
            <w:r>
              <w:rPr>
                <w:sz w:val="18"/>
              </w:rPr>
              <w:t>Wage</w:t>
            </w:r>
          </w:p>
        </w:tc>
        <w:tc>
          <w:tcPr>
            <w:tcW w:w="0" w:type="auto"/>
          </w:tcPr>
          <w:p w14:paraId="338519E6" w14:textId="77777777" w:rsidR="00540C1D" w:rsidRDefault="00000000">
            <w:pPr>
              <w:pStyle w:val="Compact"/>
              <w:spacing w:after="0"/>
            </w:pPr>
            <w:r>
              <w:rPr>
                <w:sz w:val="18"/>
              </w:rPr>
              <w:t>Employment</w:t>
            </w:r>
          </w:p>
        </w:tc>
      </w:tr>
      <w:tr w:rsidR="00540C1D" w14:paraId="4B1AA557" w14:textId="77777777">
        <w:tc>
          <w:tcPr>
            <w:tcW w:w="0" w:type="auto"/>
          </w:tcPr>
          <w:p w14:paraId="5BAA6C01" w14:textId="77777777" w:rsidR="00540C1D" w:rsidRDefault="00000000">
            <w:pPr>
              <w:pStyle w:val="Compact"/>
              <w:spacing w:after="0"/>
            </w:pPr>
            <w:r>
              <w:rPr>
                <w:b/>
                <w:bCs/>
                <w:sz w:val="18"/>
              </w:rPr>
              <w:t>FULL</w:t>
            </w:r>
            <w:r>
              <w:rPr>
                <w:sz w:val="18"/>
              </w:rPr>
              <w:t xml:space="preserve"> (neoclassical)</w:t>
            </w:r>
          </w:p>
        </w:tc>
        <w:tc>
          <w:tcPr>
            <w:tcW w:w="0" w:type="auto"/>
          </w:tcPr>
          <w:p w14:paraId="33FE5262" w14:textId="77777777" w:rsidR="00540C1D" w:rsidRDefault="00000000">
            <w:pPr>
              <w:pStyle w:val="Compact"/>
              <w:spacing w:after="0"/>
            </w:pPr>
            <w:r>
              <w:rPr>
                <w:sz w:val="18"/>
              </w:rPr>
              <w:t>Flexible</w:t>
            </w:r>
          </w:p>
        </w:tc>
        <w:tc>
          <w:tcPr>
            <w:tcW w:w="0" w:type="auto"/>
          </w:tcPr>
          <w:p w14:paraId="3EAB4248" w14:textId="77777777" w:rsidR="00540C1D" w:rsidRDefault="00000000">
            <w:pPr>
              <w:pStyle w:val="Compact"/>
              <w:spacing w:after="0"/>
            </w:pPr>
            <w:r>
              <w:rPr>
                <w:sz w:val="18"/>
              </w:rPr>
              <w:t>Fixed at the labour force</w:t>
            </w:r>
          </w:p>
        </w:tc>
      </w:tr>
      <w:tr w:rsidR="00540C1D" w14:paraId="5793570B" w14:textId="77777777">
        <w:tc>
          <w:tcPr>
            <w:tcW w:w="0" w:type="auto"/>
          </w:tcPr>
          <w:p w14:paraId="5845C4A2" w14:textId="77777777" w:rsidR="00540C1D" w:rsidRDefault="00000000">
            <w:pPr>
              <w:pStyle w:val="Compact"/>
              <w:spacing w:after="0"/>
            </w:pPr>
            <w:r>
              <w:rPr>
                <w:b/>
                <w:bCs/>
                <w:sz w:val="18"/>
              </w:rPr>
              <w:t>UNEMP</w:t>
            </w:r>
            <w:r>
              <w:rPr>
                <w:sz w:val="18"/>
              </w:rPr>
              <w:t xml:space="preserve"> (structuralist)</w:t>
            </w:r>
          </w:p>
        </w:tc>
        <w:tc>
          <w:tcPr>
            <w:tcW w:w="0" w:type="auto"/>
          </w:tcPr>
          <w:p w14:paraId="07956661" w14:textId="77777777" w:rsidR="00540C1D" w:rsidRDefault="00000000">
            <w:pPr>
              <w:pStyle w:val="Compact"/>
              <w:spacing w:after="0"/>
            </w:pPr>
            <w:r>
              <w:rPr>
                <w:sz w:val="18"/>
              </w:rPr>
              <w:t>Fixed in real terms</w:t>
            </w:r>
          </w:p>
        </w:tc>
        <w:tc>
          <w:tcPr>
            <w:tcW w:w="0" w:type="auto"/>
          </w:tcPr>
          <w:p w14:paraId="09853D75" w14:textId="77777777" w:rsidR="00540C1D" w:rsidRDefault="00000000">
            <w:pPr>
              <w:pStyle w:val="Compact"/>
              <w:spacing w:after="0"/>
            </w:pPr>
            <w:r>
              <w:rPr>
                <w:sz w:val="18"/>
              </w:rPr>
              <w:t>Adjusts; unemployment is endogenous</w:t>
            </w:r>
          </w:p>
        </w:tc>
      </w:tr>
    </w:tbl>
    <w:p w14:paraId="4A7F1AE9" w14:textId="77777777" w:rsidR="00540C1D" w:rsidRDefault="00000000" w:rsidP="00FA3D3D">
      <w:pPr>
        <w:pStyle w:val="BodyText"/>
        <w:spacing w:after="120" w:line="360" w:lineRule="auto"/>
        <w:jc w:val="both"/>
      </w:pPr>
      <w:r>
        <w:t>The UNEMP closure fits Pakistan’s large informal labour market and rigid formal wages better, so it is our central case.</w:t>
      </w:r>
    </w:p>
    <w:p w14:paraId="0938354A" w14:textId="77777777" w:rsidR="00540C1D" w:rsidRDefault="00000000">
      <w:pPr>
        <w:pStyle w:val="Heading2"/>
        <w:spacing w:after="120"/>
      </w:pPr>
      <w:bookmarkStart w:id="28" w:name="calibration-and-elasticities"/>
      <w:bookmarkEnd w:id="27"/>
      <w:r>
        <w:t>5.6 Calibration and elasticities</w:t>
      </w:r>
    </w:p>
    <w:p w14:paraId="2BA2C043" w14:textId="77777777" w:rsidR="00015800" w:rsidRDefault="00015800" w:rsidP="00FA3D3D">
      <w:pPr>
        <w:pStyle w:val="BodyText"/>
        <w:spacing w:after="120" w:line="360" w:lineRule="auto"/>
        <w:jc w:val="both"/>
      </w:pPr>
      <w:r w:rsidRPr="00015800">
        <w:t>All the parameters of share, scale are calibrated such that the model reproduces the SAM exactly. In the benchmark replication test, all variables return to their base values, with no deviations and no Walras slack.</w:t>
      </w:r>
    </w:p>
    <w:p w14:paraId="414E41FC" w14:textId="57427581" w:rsidR="00540C1D" w:rsidRDefault="00000000">
      <w:pPr>
        <w:pStyle w:val="BodyText"/>
        <w:spacing w:after="120"/>
      </w:pPr>
      <w:r>
        <w:rPr>
          <w:b/>
          <w:bCs/>
        </w:rPr>
        <w:t>Table 7. Trade elasticities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006"/>
        <w:gridCol w:w="1046"/>
        <w:gridCol w:w="736"/>
        <w:gridCol w:w="1286"/>
        <w:gridCol w:w="826"/>
      </w:tblGrid>
      <w:tr w:rsidR="00540C1D" w14:paraId="1AF79BD9" w14:textId="77777777" w:rsidTr="00540C1D">
        <w:trPr>
          <w:cnfStyle w:val="100000000000" w:firstRow="1" w:lastRow="0" w:firstColumn="0" w:lastColumn="0" w:oddVBand="0" w:evenVBand="0" w:oddHBand="0" w:evenHBand="0" w:firstRowFirstColumn="0" w:firstRowLastColumn="0" w:lastRowFirstColumn="0" w:lastRowLastColumn="0"/>
          <w:tblHeader/>
        </w:trPr>
        <w:tc>
          <w:tcPr>
            <w:tcW w:w="0" w:type="auto"/>
          </w:tcPr>
          <w:p w14:paraId="724628C6" w14:textId="77777777" w:rsidR="00540C1D" w:rsidRDefault="00000000">
            <w:pPr>
              <w:pStyle w:val="Compact"/>
              <w:spacing w:after="0"/>
            </w:pPr>
            <w:r>
              <w:rPr>
                <w:sz w:val="18"/>
              </w:rPr>
              <w:t>Elasticity</w:t>
            </w:r>
          </w:p>
        </w:tc>
        <w:tc>
          <w:tcPr>
            <w:tcW w:w="0" w:type="auto"/>
          </w:tcPr>
          <w:p w14:paraId="08973808" w14:textId="77777777" w:rsidR="00540C1D" w:rsidRDefault="00000000">
            <w:pPr>
              <w:pStyle w:val="Compact"/>
              <w:spacing w:after="0"/>
            </w:pPr>
            <w:r>
              <w:rPr>
                <w:sz w:val="18"/>
              </w:rPr>
              <w:t>Agriculture</w:t>
            </w:r>
          </w:p>
        </w:tc>
        <w:tc>
          <w:tcPr>
            <w:tcW w:w="0" w:type="auto"/>
          </w:tcPr>
          <w:p w14:paraId="2C4D4760" w14:textId="77777777" w:rsidR="00540C1D" w:rsidRDefault="00000000">
            <w:pPr>
              <w:pStyle w:val="Compact"/>
              <w:spacing w:after="0"/>
            </w:pPr>
            <w:r>
              <w:rPr>
                <w:sz w:val="18"/>
              </w:rPr>
              <w:t>Energy</w:t>
            </w:r>
          </w:p>
        </w:tc>
        <w:tc>
          <w:tcPr>
            <w:tcW w:w="0" w:type="auto"/>
          </w:tcPr>
          <w:p w14:paraId="2BB7F7C2" w14:textId="77777777" w:rsidR="00540C1D" w:rsidRDefault="00000000">
            <w:pPr>
              <w:pStyle w:val="Compact"/>
              <w:spacing w:after="0"/>
            </w:pPr>
            <w:r>
              <w:rPr>
                <w:sz w:val="18"/>
              </w:rPr>
              <w:t>Manufacturing</w:t>
            </w:r>
          </w:p>
        </w:tc>
        <w:tc>
          <w:tcPr>
            <w:tcW w:w="0" w:type="auto"/>
          </w:tcPr>
          <w:p w14:paraId="4BA884B3" w14:textId="77777777" w:rsidR="00540C1D" w:rsidRDefault="00000000">
            <w:pPr>
              <w:pStyle w:val="Compact"/>
              <w:spacing w:after="0"/>
            </w:pPr>
            <w:r>
              <w:rPr>
                <w:sz w:val="18"/>
              </w:rPr>
              <w:t>Services</w:t>
            </w:r>
          </w:p>
        </w:tc>
      </w:tr>
      <w:tr w:rsidR="00540C1D" w14:paraId="459DD394" w14:textId="77777777">
        <w:tc>
          <w:tcPr>
            <w:tcW w:w="0" w:type="auto"/>
          </w:tcPr>
          <w:p w14:paraId="28229EFD" w14:textId="77777777" w:rsidR="00540C1D" w:rsidRDefault="00000000">
            <w:pPr>
              <w:pStyle w:val="Compact"/>
              <w:spacing w:after="0"/>
            </w:pPr>
            <w:r>
              <w:rPr>
                <w:sz w:val="18"/>
              </w:rPr>
              <w:t>Armington</w:t>
            </w:r>
          </w:p>
        </w:tc>
        <w:tc>
          <w:tcPr>
            <w:tcW w:w="0" w:type="auto"/>
          </w:tcPr>
          <w:p w14:paraId="533A0A81" w14:textId="77777777" w:rsidR="00540C1D" w:rsidRDefault="00000000">
            <w:pPr>
              <w:pStyle w:val="Compact"/>
              <w:spacing w:after="0"/>
            </w:pPr>
            <w:r>
              <w:rPr>
                <w:sz w:val="18"/>
              </w:rPr>
              <w:t>1.5</w:t>
            </w:r>
          </w:p>
        </w:tc>
        <w:tc>
          <w:tcPr>
            <w:tcW w:w="0" w:type="auto"/>
          </w:tcPr>
          <w:p w14:paraId="74B1D259" w14:textId="77777777" w:rsidR="00540C1D" w:rsidRDefault="00000000">
            <w:pPr>
              <w:pStyle w:val="Compact"/>
              <w:spacing w:after="0"/>
            </w:pPr>
            <w:r>
              <w:rPr>
                <w:sz w:val="18"/>
              </w:rPr>
              <w:t>0.1</w:t>
            </w:r>
          </w:p>
        </w:tc>
        <w:tc>
          <w:tcPr>
            <w:tcW w:w="0" w:type="auto"/>
          </w:tcPr>
          <w:p w14:paraId="64DF9837" w14:textId="77777777" w:rsidR="00540C1D" w:rsidRDefault="00000000">
            <w:pPr>
              <w:pStyle w:val="Compact"/>
              <w:spacing w:after="0"/>
            </w:pPr>
            <w:r>
              <w:rPr>
                <w:sz w:val="18"/>
              </w:rPr>
              <w:t>1.5</w:t>
            </w:r>
          </w:p>
        </w:tc>
        <w:tc>
          <w:tcPr>
            <w:tcW w:w="0" w:type="auto"/>
          </w:tcPr>
          <w:p w14:paraId="70DF67CB" w14:textId="77777777" w:rsidR="00540C1D" w:rsidRDefault="00000000">
            <w:pPr>
              <w:pStyle w:val="Compact"/>
              <w:spacing w:after="0"/>
            </w:pPr>
            <w:r>
              <w:rPr>
                <w:sz w:val="18"/>
              </w:rPr>
              <w:t>0.8</w:t>
            </w:r>
          </w:p>
        </w:tc>
      </w:tr>
      <w:tr w:rsidR="00540C1D" w14:paraId="754834E9" w14:textId="77777777">
        <w:tc>
          <w:tcPr>
            <w:tcW w:w="0" w:type="auto"/>
          </w:tcPr>
          <w:p w14:paraId="52CA9FEB" w14:textId="77777777" w:rsidR="00540C1D" w:rsidRDefault="00000000">
            <w:pPr>
              <w:pStyle w:val="Compact"/>
              <w:spacing w:after="0"/>
            </w:pPr>
            <w:r>
              <w:rPr>
                <w:sz w:val="18"/>
              </w:rPr>
              <w:t>CET</w:t>
            </w:r>
          </w:p>
        </w:tc>
        <w:tc>
          <w:tcPr>
            <w:tcW w:w="0" w:type="auto"/>
          </w:tcPr>
          <w:p w14:paraId="4265DB54" w14:textId="77777777" w:rsidR="00540C1D" w:rsidRDefault="00000000">
            <w:pPr>
              <w:pStyle w:val="Compact"/>
              <w:spacing w:after="0"/>
            </w:pPr>
            <w:r>
              <w:rPr>
                <w:sz w:val="18"/>
              </w:rPr>
              <w:t>0.9</w:t>
            </w:r>
          </w:p>
        </w:tc>
        <w:tc>
          <w:tcPr>
            <w:tcW w:w="0" w:type="auto"/>
          </w:tcPr>
          <w:p w14:paraId="589C0100" w14:textId="77777777" w:rsidR="00540C1D" w:rsidRDefault="00000000">
            <w:pPr>
              <w:pStyle w:val="Compact"/>
              <w:spacing w:after="0"/>
            </w:pPr>
            <w:r>
              <w:rPr>
                <w:sz w:val="18"/>
              </w:rPr>
              <w:t>0.5</w:t>
            </w:r>
          </w:p>
        </w:tc>
        <w:tc>
          <w:tcPr>
            <w:tcW w:w="0" w:type="auto"/>
          </w:tcPr>
          <w:p w14:paraId="73DF54E2" w14:textId="77777777" w:rsidR="00540C1D" w:rsidRDefault="00000000">
            <w:pPr>
              <w:pStyle w:val="Compact"/>
              <w:spacing w:after="0"/>
            </w:pPr>
            <w:r>
              <w:rPr>
                <w:sz w:val="18"/>
              </w:rPr>
              <w:t>1.5</w:t>
            </w:r>
          </w:p>
        </w:tc>
        <w:tc>
          <w:tcPr>
            <w:tcW w:w="0" w:type="auto"/>
          </w:tcPr>
          <w:p w14:paraId="59C853EB" w14:textId="77777777" w:rsidR="00540C1D" w:rsidRDefault="00000000">
            <w:pPr>
              <w:pStyle w:val="Compact"/>
              <w:spacing w:after="0"/>
            </w:pPr>
            <w:r>
              <w:rPr>
                <w:sz w:val="18"/>
              </w:rPr>
              <w:t>0.7</w:t>
            </w:r>
          </w:p>
        </w:tc>
      </w:tr>
    </w:tbl>
    <w:p w14:paraId="384D73FF" w14:textId="77777777" w:rsidR="00015800" w:rsidRDefault="00015800" w:rsidP="00FA3D3D">
      <w:pPr>
        <w:pStyle w:val="Heading1"/>
        <w:spacing w:after="120" w:line="360" w:lineRule="auto"/>
        <w:jc w:val="both"/>
        <w:rPr>
          <w:rFonts w:ascii="Times New Roman" w:eastAsia="Times New Roman" w:hAnsi="Times New Roman" w:cs="Times New Roman"/>
          <w:b w:val="0"/>
          <w:bCs w:val="0"/>
          <w:color w:val="auto"/>
          <w:sz w:val="22"/>
          <w:szCs w:val="24"/>
        </w:rPr>
      </w:pPr>
      <w:bookmarkStart w:id="29" w:name="shock-scenarios"/>
      <w:bookmarkEnd w:id="22"/>
      <w:bookmarkEnd w:id="28"/>
      <w:r w:rsidRPr="00015800">
        <w:rPr>
          <w:rFonts w:ascii="Times New Roman" w:eastAsia="Times New Roman" w:hAnsi="Times New Roman" w:cs="Times New Roman"/>
          <w:b w:val="0"/>
          <w:bCs w:val="0"/>
          <w:color w:val="auto"/>
          <w:sz w:val="22"/>
          <w:szCs w:val="24"/>
        </w:rPr>
        <w:t>The energy Armington elasticity is imposed to be very close to zero (0.1). Energy cannot be substituted with domestic sources in the short run since domestic refineries and power stations rely on imports. This has a higher value (0.56) and predicts that domestic energy output increases following the shock, which is incorrect. The values on the other terms follow ranges typical of the developing country CGE applications (Lofgren et al., 2002), and are tested in Section 8.</w:t>
      </w:r>
    </w:p>
    <w:p w14:paraId="47385A3C" w14:textId="46E41D86" w:rsidR="00540C1D" w:rsidRDefault="00000000">
      <w:pPr>
        <w:pStyle w:val="Heading1"/>
        <w:spacing w:after="120"/>
      </w:pPr>
      <w:r>
        <w:t>6. Shock scenarios</w:t>
      </w:r>
    </w:p>
    <w:p w14:paraId="3CDEE7E9" w14:textId="77777777" w:rsidR="00015800" w:rsidRDefault="00015800" w:rsidP="00FA3D3D">
      <w:pPr>
        <w:pStyle w:val="BodyText"/>
        <w:spacing w:after="120" w:line="360" w:lineRule="auto"/>
        <w:jc w:val="both"/>
      </w:pPr>
      <w:r w:rsidRPr="00015800">
        <w:t>To model the Hormuz disruption the world price of Pakistan's energy imports is modeled as rasing. Scarcity is not modelled, but rather represented by a price rise.</w:t>
      </w:r>
    </w:p>
    <w:p w14:paraId="59929C33" w14:textId="6AB50071" w:rsidR="00540C1D" w:rsidRDefault="00000000">
      <w:pPr>
        <w:pStyle w:val="BodyText"/>
        <w:spacing w:after="120"/>
      </w:pPr>
      <w:r>
        <w:rPr>
          <w:b/>
          <w:bCs/>
        </w:rPr>
        <w:t>Table 8. Shock scenarios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846"/>
        <w:gridCol w:w="1666"/>
        <w:gridCol w:w="2256"/>
      </w:tblGrid>
      <w:tr w:rsidR="00540C1D" w14:paraId="4341F292" w14:textId="77777777" w:rsidTr="00540C1D">
        <w:trPr>
          <w:cnfStyle w:val="100000000000" w:firstRow="1" w:lastRow="0" w:firstColumn="0" w:lastColumn="0" w:oddVBand="0" w:evenVBand="0" w:oddHBand="0" w:evenHBand="0" w:firstRowFirstColumn="0" w:firstRowLastColumn="0" w:lastRowFirstColumn="0" w:lastRowLastColumn="0"/>
          <w:tblHeader/>
        </w:trPr>
        <w:tc>
          <w:tcPr>
            <w:tcW w:w="0" w:type="auto"/>
          </w:tcPr>
          <w:p w14:paraId="687F3168" w14:textId="77777777" w:rsidR="00540C1D" w:rsidRDefault="00000000">
            <w:pPr>
              <w:pStyle w:val="Compact"/>
              <w:spacing w:after="0"/>
            </w:pPr>
            <w:r>
              <w:rPr>
                <w:sz w:val="18"/>
              </w:rPr>
              <w:t>Scenario</w:t>
            </w:r>
          </w:p>
        </w:tc>
        <w:tc>
          <w:tcPr>
            <w:tcW w:w="0" w:type="auto"/>
          </w:tcPr>
          <w:p w14:paraId="72975DA9" w14:textId="77777777" w:rsidR="00540C1D" w:rsidRDefault="00000000">
            <w:pPr>
              <w:pStyle w:val="Compact"/>
              <w:spacing w:after="0"/>
            </w:pPr>
            <w:r>
              <w:rPr>
                <w:sz w:val="18"/>
              </w:rPr>
              <w:t>Energy import price</w:t>
            </w:r>
          </w:p>
        </w:tc>
        <w:tc>
          <w:tcPr>
            <w:tcW w:w="0" w:type="auto"/>
          </w:tcPr>
          <w:p w14:paraId="33F11867" w14:textId="77777777" w:rsidR="00540C1D" w:rsidRDefault="00000000">
            <w:pPr>
              <w:pStyle w:val="Compact"/>
              <w:spacing w:after="0"/>
            </w:pPr>
            <w:r>
              <w:rPr>
                <w:sz w:val="18"/>
              </w:rPr>
              <w:t>Interpretation</w:t>
            </w:r>
          </w:p>
        </w:tc>
      </w:tr>
      <w:tr w:rsidR="00540C1D" w14:paraId="7DD3FF41" w14:textId="77777777">
        <w:tc>
          <w:tcPr>
            <w:tcW w:w="0" w:type="auto"/>
          </w:tcPr>
          <w:p w14:paraId="5403ABFF" w14:textId="77777777" w:rsidR="00540C1D" w:rsidRDefault="00000000">
            <w:pPr>
              <w:pStyle w:val="Compact"/>
              <w:spacing w:after="0"/>
            </w:pPr>
            <w:r>
              <w:rPr>
                <w:b/>
                <w:bCs/>
                <w:sz w:val="18"/>
              </w:rPr>
              <w:t>Base</w:t>
            </w:r>
          </w:p>
        </w:tc>
        <w:tc>
          <w:tcPr>
            <w:tcW w:w="0" w:type="auto"/>
          </w:tcPr>
          <w:p w14:paraId="2BEA3120" w14:textId="77777777" w:rsidR="00540C1D" w:rsidRDefault="00000000">
            <w:pPr>
              <w:pStyle w:val="Compact"/>
              <w:spacing w:after="0"/>
            </w:pPr>
            <w:r>
              <w:rPr>
                <w:sz w:val="18"/>
              </w:rPr>
              <w:t>0%</w:t>
            </w:r>
          </w:p>
        </w:tc>
        <w:tc>
          <w:tcPr>
            <w:tcW w:w="0" w:type="auto"/>
          </w:tcPr>
          <w:p w14:paraId="526B6A25" w14:textId="77777777" w:rsidR="00540C1D" w:rsidRDefault="00000000">
            <w:pPr>
              <w:pStyle w:val="Compact"/>
              <w:spacing w:after="0"/>
            </w:pPr>
            <w:r>
              <w:rPr>
                <w:sz w:val="18"/>
              </w:rPr>
              <w:t>Replication check</w:t>
            </w:r>
          </w:p>
        </w:tc>
      </w:tr>
      <w:tr w:rsidR="00540C1D" w14:paraId="0EFC2258" w14:textId="77777777">
        <w:tc>
          <w:tcPr>
            <w:tcW w:w="0" w:type="auto"/>
          </w:tcPr>
          <w:p w14:paraId="48F45D72" w14:textId="77777777" w:rsidR="00540C1D" w:rsidRDefault="00000000">
            <w:pPr>
              <w:pStyle w:val="Compact"/>
              <w:spacing w:after="0"/>
            </w:pPr>
            <w:r>
              <w:rPr>
                <w:b/>
                <w:bCs/>
                <w:sz w:val="18"/>
              </w:rPr>
              <w:t>A30</w:t>
            </w:r>
          </w:p>
        </w:tc>
        <w:tc>
          <w:tcPr>
            <w:tcW w:w="0" w:type="auto"/>
          </w:tcPr>
          <w:p w14:paraId="61B1A991" w14:textId="77777777" w:rsidR="00540C1D" w:rsidRDefault="00000000">
            <w:pPr>
              <w:pStyle w:val="Compact"/>
              <w:spacing w:after="0"/>
            </w:pPr>
            <w:r>
              <w:rPr>
                <w:sz w:val="18"/>
              </w:rPr>
              <w:t>+30%</w:t>
            </w:r>
          </w:p>
        </w:tc>
        <w:tc>
          <w:tcPr>
            <w:tcW w:w="0" w:type="auto"/>
          </w:tcPr>
          <w:p w14:paraId="77C300A1" w14:textId="77777777" w:rsidR="00540C1D" w:rsidRDefault="00000000">
            <w:pPr>
              <w:pStyle w:val="Compact"/>
              <w:spacing w:after="0"/>
            </w:pPr>
            <w:r>
              <w:rPr>
                <w:sz w:val="18"/>
              </w:rPr>
              <w:t>Moderate sustained increase</w:t>
            </w:r>
          </w:p>
        </w:tc>
      </w:tr>
      <w:tr w:rsidR="00540C1D" w14:paraId="69110885" w14:textId="77777777">
        <w:tc>
          <w:tcPr>
            <w:tcW w:w="0" w:type="auto"/>
          </w:tcPr>
          <w:p w14:paraId="79BE3533" w14:textId="77777777" w:rsidR="00540C1D" w:rsidRDefault="00000000">
            <w:pPr>
              <w:pStyle w:val="Compact"/>
              <w:spacing w:after="0"/>
            </w:pPr>
            <w:r>
              <w:rPr>
                <w:b/>
                <w:bCs/>
                <w:sz w:val="18"/>
              </w:rPr>
              <w:t>B71</w:t>
            </w:r>
          </w:p>
        </w:tc>
        <w:tc>
          <w:tcPr>
            <w:tcW w:w="0" w:type="auto"/>
          </w:tcPr>
          <w:p w14:paraId="110BDE51" w14:textId="77777777" w:rsidR="00540C1D" w:rsidRDefault="00000000">
            <w:pPr>
              <w:pStyle w:val="Compact"/>
              <w:spacing w:after="0"/>
            </w:pPr>
            <w:r>
              <w:rPr>
                <w:sz w:val="18"/>
              </w:rPr>
              <w:t>+71%</w:t>
            </w:r>
          </w:p>
        </w:tc>
        <w:tc>
          <w:tcPr>
            <w:tcW w:w="0" w:type="auto"/>
          </w:tcPr>
          <w:p w14:paraId="0F5C7569" w14:textId="77777777" w:rsidR="00540C1D" w:rsidRDefault="00000000">
            <w:pPr>
              <w:pStyle w:val="Compact"/>
              <w:spacing w:after="0"/>
            </w:pPr>
            <w:r>
              <w:rPr>
                <w:sz w:val="18"/>
              </w:rPr>
              <w:t>Severe sustained increase</w:t>
            </w:r>
          </w:p>
        </w:tc>
      </w:tr>
    </w:tbl>
    <w:p w14:paraId="6219D00D" w14:textId="77777777" w:rsidR="00015800" w:rsidRDefault="00015800" w:rsidP="00FA3D3D">
      <w:pPr>
        <w:pStyle w:val="BodyText"/>
        <w:spacing w:after="120" w:line="360" w:lineRule="auto"/>
        <w:jc w:val="both"/>
      </w:pPr>
      <w:r w:rsidRPr="00015800">
        <w:t xml:space="preserve">They averaged US$145 per barrel in 2026, a significant increase from their starting price of around US$70 in the same month, during the peak of the crude price surge (The News, 2026). Our shocks are lower than this because they are not as severe as to be applicable to the whole energy import basket (Liquefied Natural Gas or LNG and other fuels which are purchased under long term, as well as short </w:t>
      </w:r>
      <w:r w:rsidRPr="00015800">
        <w:lastRenderedPageBreak/>
        <w:t>term, contracts) and because they are also for ongoing prices, not peak prices. The case +71% is a serious, but plausible, sustained shock; whereas the case +30 % is moderate.</w:t>
      </w:r>
    </w:p>
    <w:p w14:paraId="438EFFE1" w14:textId="71B21D9C" w:rsidR="00015800" w:rsidRDefault="00015800" w:rsidP="00FA3D3D">
      <w:pPr>
        <w:pStyle w:val="Heading1"/>
        <w:spacing w:after="120" w:line="360" w:lineRule="auto"/>
        <w:jc w:val="both"/>
        <w:rPr>
          <w:rFonts w:ascii="Times New Roman" w:eastAsia="Times New Roman" w:hAnsi="Times New Roman" w:cs="Times New Roman"/>
          <w:b w:val="0"/>
          <w:bCs w:val="0"/>
          <w:color w:val="auto"/>
          <w:sz w:val="22"/>
          <w:szCs w:val="24"/>
        </w:rPr>
      </w:pPr>
      <w:bookmarkStart w:id="30" w:name="results"/>
      <w:bookmarkEnd w:id="29"/>
      <w:r w:rsidRPr="00015800">
        <w:rPr>
          <w:rFonts w:ascii="Times New Roman" w:eastAsia="Times New Roman" w:hAnsi="Times New Roman" w:cs="Times New Roman"/>
          <w:b w:val="0"/>
          <w:bCs w:val="0"/>
          <w:color w:val="auto"/>
          <w:sz w:val="22"/>
          <w:szCs w:val="24"/>
        </w:rPr>
        <w:t xml:space="preserve">The two rest of </w:t>
      </w:r>
      <w:r w:rsidR="00FA3D3D" w:rsidRPr="00015800">
        <w:rPr>
          <w:rFonts w:ascii="Times New Roman" w:eastAsia="Times New Roman" w:hAnsi="Times New Roman" w:cs="Times New Roman"/>
          <w:b w:val="0"/>
          <w:bCs w:val="0"/>
          <w:color w:val="auto"/>
          <w:sz w:val="22"/>
          <w:szCs w:val="24"/>
        </w:rPr>
        <w:t>labor</w:t>
      </w:r>
      <w:r w:rsidRPr="00015800">
        <w:rPr>
          <w:rFonts w:ascii="Times New Roman" w:eastAsia="Times New Roman" w:hAnsi="Times New Roman" w:cs="Times New Roman"/>
          <w:b w:val="0"/>
          <w:bCs w:val="0"/>
          <w:color w:val="auto"/>
          <w:sz w:val="22"/>
          <w:szCs w:val="24"/>
        </w:rPr>
        <w:t>-market closures (UNEMP and FULL) are applied to each scenario, resulting in six runs. The other world prices, remittances in dollars, foreign savings and government consumption and transfers remain at base levels. Each iteration computes a local optimum solution (slack &lt; 1e-6 Walras).</w:t>
      </w:r>
    </w:p>
    <w:p w14:paraId="02A31764" w14:textId="15218F9C" w:rsidR="00540C1D" w:rsidRDefault="00000000">
      <w:pPr>
        <w:pStyle w:val="Heading1"/>
        <w:spacing w:after="120"/>
      </w:pPr>
      <w:r>
        <w:t>7. Results</w:t>
      </w:r>
    </w:p>
    <w:p w14:paraId="45C51837" w14:textId="77777777" w:rsidR="00540C1D" w:rsidRDefault="00000000">
      <w:pPr>
        <w:pStyle w:val="Heading2"/>
        <w:spacing w:after="120"/>
      </w:pPr>
      <w:bookmarkStart w:id="31" w:name="macroeconomic-effects"/>
      <w:r>
        <w:t>7.1 Macroeconomic effects</w:t>
      </w:r>
    </w:p>
    <w:p w14:paraId="353EDB5D" w14:textId="77777777" w:rsidR="00540C1D" w:rsidRDefault="00000000">
      <w:pPr>
        <w:pStyle w:val="FirstParagraph"/>
        <w:spacing w:after="120"/>
      </w:pPr>
      <w:r>
        <w:rPr>
          <w:b/>
          <w:bCs/>
        </w:rPr>
        <w:t>Table 9. Macroeconomic effects (% change from base unless noted)</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668"/>
        <w:gridCol w:w="1021"/>
        <w:gridCol w:w="1202"/>
        <w:gridCol w:w="1012"/>
        <w:gridCol w:w="1192"/>
      </w:tblGrid>
      <w:tr w:rsidR="00540C1D" w14:paraId="1507C7D2" w14:textId="77777777" w:rsidTr="00540C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72400C" w14:textId="77777777" w:rsidR="00540C1D" w:rsidRDefault="00000000">
            <w:pPr>
              <w:pStyle w:val="Compact"/>
              <w:spacing w:after="0"/>
            </w:pPr>
            <w:r>
              <w:rPr>
                <w:sz w:val="18"/>
              </w:rPr>
              <w:t>Indicator</w:t>
            </w:r>
          </w:p>
        </w:tc>
        <w:tc>
          <w:tcPr>
            <w:tcW w:w="0" w:type="auto"/>
          </w:tcPr>
          <w:p w14:paraId="050FEE38" w14:textId="77777777" w:rsidR="00540C1D" w:rsidRDefault="00000000">
            <w:pPr>
              <w:pStyle w:val="Compact"/>
              <w:spacing w:after="0"/>
            </w:pPr>
            <w:r>
              <w:rPr>
                <w:sz w:val="18"/>
              </w:rPr>
              <w:t>A30 FULL</w:t>
            </w:r>
          </w:p>
        </w:tc>
        <w:tc>
          <w:tcPr>
            <w:tcW w:w="0" w:type="auto"/>
          </w:tcPr>
          <w:p w14:paraId="4F32965C" w14:textId="77777777" w:rsidR="00540C1D" w:rsidRDefault="00000000">
            <w:pPr>
              <w:pStyle w:val="Compact"/>
              <w:spacing w:after="0"/>
            </w:pPr>
            <w:r>
              <w:rPr>
                <w:sz w:val="18"/>
              </w:rPr>
              <w:t>A30 UNEMP</w:t>
            </w:r>
          </w:p>
        </w:tc>
        <w:tc>
          <w:tcPr>
            <w:tcW w:w="0" w:type="auto"/>
          </w:tcPr>
          <w:p w14:paraId="62BF3437" w14:textId="77777777" w:rsidR="00540C1D" w:rsidRDefault="00000000">
            <w:pPr>
              <w:pStyle w:val="Compact"/>
              <w:spacing w:after="0"/>
            </w:pPr>
            <w:r>
              <w:rPr>
                <w:sz w:val="18"/>
              </w:rPr>
              <w:t>B71 FULL</w:t>
            </w:r>
          </w:p>
        </w:tc>
        <w:tc>
          <w:tcPr>
            <w:tcW w:w="0" w:type="auto"/>
          </w:tcPr>
          <w:p w14:paraId="5C43184A" w14:textId="77777777" w:rsidR="00540C1D" w:rsidRDefault="00000000">
            <w:pPr>
              <w:pStyle w:val="Compact"/>
              <w:spacing w:after="0"/>
            </w:pPr>
            <w:r>
              <w:rPr>
                <w:sz w:val="18"/>
              </w:rPr>
              <w:t>B71 UNEMP</w:t>
            </w:r>
          </w:p>
        </w:tc>
      </w:tr>
      <w:tr w:rsidR="00540C1D" w14:paraId="0D69527D" w14:textId="77777777">
        <w:tc>
          <w:tcPr>
            <w:tcW w:w="0" w:type="auto"/>
          </w:tcPr>
          <w:p w14:paraId="66897D35" w14:textId="77777777" w:rsidR="00540C1D" w:rsidRDefault="00000000">
            <w:pPr>
              <w:pStyle w:val="Compact"/>
              <w:spacing w:after="0"/>
            </w:pPr>
            <w:r>
              <w:rPr>
                <w:sz w:val="18"/>
              </w:rPr>
              <w:t>Real GDP</w:t>
            </w:r>
          </w:p>
        </w:tc>
        <w:tc>
          <w:tcPr>
            <w:tcW w:w="0" w:type="auto"/>
          </w:tcPr>
          <w:p w14:paraId="439543C1" w14:textId="77777777" w:rsidR="00540C1D" w:rsidRDefault="00000000">
            <w:pPr>
              <w:pStyle w:val="Compact"/>
              <w:spacing w:after="0"/>
            </w:pPr>
            <w:r>
              <w:rPr>
                <w:sz w:val="18"/>
              </w:rPr>
              <w:t>0.00</w:t>
            </w:r>
          </w:p>
        </w:tc>
        <w:tc>
          <w:tcPr>
            <w:tcW w:w="0" w:type="auto"/>
          </w:tcPr>
          <w:p w14:paraId="5055135C" w14:textId="77777777" w:rsidR="00540C1D" w:rsidRDefault="00000000">
            <w:pPr>
              <w:pStyle w:val="Compact"/>
              <w:spacing w:after="0"/>
            </w:pPr>
            <w:r>
              <w:rPr>
                <w:sz w:val="18"/>
              </w:rPr>
              <w:t>−0.22</w:t>
            </w:r>
          </w:p>
        </w:tc>
        <w:tc>
          <w:tcPr>
            <w:tcW w:w="0" w:type="auto"/>
          </w:tcPr>
          <w:p w14:paraId="6AD49EDD" w14:textId="77777777" w:rsidR="00540C1D" w:rsidRDefault="00000000">
            <w:pPr>
              <w:pStyle w:val="Compact"/>
              <w:spacing w:after="0"/>
            </w:pPr>
            <w:r>
              <w:rPr>
                <w:sz w:val="18"/>
              </w:rPr>
              <w:t>−0.01</w:t>
            </w:r>
          </w:p>
        </w:tc>
        <w:tc>
          <w:tcPr>
            <w:tcW w:w="0" w:type="auto"/>
          </w:tcPr>
          <w:p w14:paraId="79DF7A72" w14:textId="77777777" w:rsidR="00540C1D" w:rsidRDefault="00000000">
            <w:pPr>
              <w:pStyle w:val="Compact"/>
              <w:spacing w:after="0"/>
            </w:pPr>
            <w:r>
              <w:rPr>
                <w:sz w:val="18"/>
              </w:rPr>
              <w:t>−0.54</w:t>
            </w:r>
          </w:p>
        </w:tc>
      </w:tr>
      <w:tr w:rsidR="00540C1D" w14:paraId="0FEF1E07" w14:textId="77777777">
        <w:tc>
          <w:tcPr>
            <w:tcW w:w="0" w:type="auto"/>
          </w:tcPr>
          <w:p w14:paraId="1C8E4E9E" w14:textId="77777777" w:rsidR="00540C1D" w:rsidRDefault="00000000">
            <w:pPr>
              <w:pStyle w:val="Compact"/>
              <w:spacing w:after="0"/>
            </w:pPr>
            <w:r>
              <w:rPr>
                <w:sz w:val="18"/>
              </w:rPr>
              <w:t>Employment</w:t>
            </w:r>
          </w:p>
        </w:tc>
        <w:tc>
          <w:tcPr>
            <w:tcW w:w="0" w:type="auto"/>
          </w:tcPr>
          <w:p w14:paraId="1A6AC8A3" w14:textId="77777777" w:rsidR="00540C1D" w:rsidRDefault="00000000">
            <w:pPr>
              <w:pStyle w:val="Compact"/>
              <w:spacing w:after="0"/>
            </w:pPr>
            <w:r>
              <w:rPr>
                <w:sz w:val="18"/>
              </w:rPr>
              <w:t>0.00</w:t>
            </w:r>
          </w:p>
        </w:tc>
        <w:tc>
          <w:tcPr>
            <w:tcW w:w="0" w:type="auto"/>
          </w:tcPr>
          <w:p w14:paraId="0D9FC266" w14:textId="77777777" w:rsidR="00540C1D" w:rsidRDefault="00000000">
            <w:pPr>
              <w:pStyle w:val="Compact"/>
              <w:spacing w:after="0"/>
            </w:pPr>
            <w:r>
              <w:rPr>
                <w:sz w:val="18"/>
              </w:rPr>
              <w:t>−0.79</w:t>
            </w:r>
          </w:p>
        </w:tc>
        <w:tc>
          <w:tcPr>
            <w:tcW w:w="0" w:type="auto"/>
          </w:tcPr>
          <w:p w14:paraId="44F18AD6" w14:textId="77777777" w:rsidR="00540C1D" w:rsidRDefault="00000000">
            <w:pPr>
              <w:pStyle w:val="Compact"/>
              <w:spacing w:after="0"/>
            </w:pPr>
            <w:r>
              <w:rPr>
                <w:sz w:val="18"/>
              </w:rPr>
              <w:t>0.00</w:t>
            </w:r>
          </w:p>
        </w:tc>
        <w:tc>
          <w:tcPr>
            <w:tcW w:w="0" w:type="auto"/>
          </w:tcPr>
          <w:p w14:paraId="01680E09" w14:textId="77777777" w:rsidR="00540C1D" w:rsidRDefault="00000000">
            <w:pPr>
              <w:pStyle w:val="Compact"/>
              <w:spacing w:after="0"/>
            </w:pPr>
            <w:r>
              <w:rPr>
                <w:sz w:val="18"/>
              </w:rPr>
              <w:t>−1.92</w:t>
            </w:r>
          </w:p>
        </w:tc>
      </w:tr>
      <w:tr w:rsidR="00540C1D" w14:paraId="35534E5B" w14:textId="77777777">
        <w:tc>
          <w:tcPr>
            <w:tcW w:w="0" w:type="auto"/>
          </w:tcPr>
          <w:p w14:paraId="635FB335" w14:textId="77777777" w:rsidR="00540C1D" w:rsidRDefault="00000000">
            <w:pPr>
              <w:pStyle w:val="Compact"/>
              <w:spacing w:after="0"/>
            </w:pPr>
            <w:r>
              <w:rPr>
                <w:sz w:val="18"/>
              </w:rPr>
              <w:t>Real wage</w:t>
            </w:r>
          </w:p>
        </w:tc>
        <w:tc>
          <w:tcPr>
            <w:tcW w:w="0" w:type="auto"/>
          </w:tcPr>
          <w:p w14:paraId="696AD43A" w14:textId="77777777" w:rsidR="00540C1D" w:rsidRDefault="00000000">
            <w:pPr>
              <w:pStyle w:val="Compact"/>
              <w:spacing w:after="0"/>
            </w:pPr>
            <w:r>
              <w:rPr>
                <w:sz w:val="18"/>
              </w:rPr>
              <w:t>−0.61</w:t>
            </w:r>
          </w:p>
        </w:tc>
        <w:tc>
          <w:tcPr>
            <w:tcW w:w="0" w:type="auto"/>
          </w:tcPr>
          <w:p w14:paraId="425CA0AB" w14:textId="77777777" w:rsidR="00540C1D" w:rsidRDefault="00000000">
            <w:pPr>
              <w:pStyle w:val="Compact"/>
              <w:spacing w:after="0"/>
            </w:pPr>
            <w:r>
              <w:rPr>
                <w:sz w:val="18"/>
              </w:rPr>
              <w:t>0.00</w:t>
            </w:r>
          </w:p>
        </w:tc>
        <w:tc>
          <w:tcPr>
            <w:tcW w:w="0" w:type="auto"/>
          </w:tcPr>
          <w:p w14:paraId="768C93AA" w14:textId="77777777" w:rsidR="00540C1D" w:rsidRDefault="00000000">
            <w:pPr>
              <w:pStyle w:val="Compact"/>
              <w:spacing w:after="0"/>
            </w:pPr>
            <w:r>
              <w:rPr>
                <w:sz w:val="18"/>
              </w:rPr>
              <w:t>−1.47</w:t>
            </w:r>
          </w:p>
        </w:tc>
        <w:tc>
          <w:tcPr>
            <w:tcW w:w="0" w:type="auto"/>
          </w:tcPr>
          <w:p w14:paraId="0A09CEE8" w14:textId="77777777" w:rsidR="00540C1D" w:rsidRDefault="00000000">
            <w:pPr>
              <w:pStyle w:val="Compact"/>
              <w:spacing w:after="0"/>
            </w:pPr>
            <w:r>
              <w:rPr>
                <w:sz w:val="18"/>
              </w:rPr>
              <w:t>0.00</w:t>
            </w:r>
          </w:p>
        </w:tc>
      </w:tr>
      <w:tr w:rsidR="00540C1D" w14:paraId="6693416D" w14:textId="77777777">
        <w:tc>
          <w:tcPr>
            <w:tcW w:w="0" w:type="auto"/>
          </w:tcPr>
          <w:p w14:paraId="57F1DC1D" w14:textId="77777777" w:rsidR="00540C1D" w:rsidRDefault="00000000">
            <w:pPr>
              <w:pStyle w:val="Compact"/>
              <w:spacing w:after="0"/>
            </w:pPr>
            <w:r>
              <w:rPr>
                <w:sz w:val="18"/>
              </w:rPr>
              <w:t>Exchange rate (PKR per $)</w:t>
            </w:r>
          </w:p>
        </w:tc>
        <w:tc>
          <w:tcPr>
            <w:tcW w:w="0" w:type="auto"/>
          </w:tcPr>
          <w:p w14:paraId="74962351" w14:textId="77777777" w:rsidR="00540C1D" w:rsidRDefault="00000000">
            <w:pPr>
              <w:pStyle w:val="Compact"/>
              <w:spacing w:after="0"/>
            </w:pPr>
            <w:r>
              <w:rPr>
                <w:sz w:val="18"/>
              </w:rPr>
              <w:t>+2.18</w:t>
            </w:r>
          </w:p>
        </w:tc>
        <w:tc>
          <w:tcPr>
            <w:tcW w:w="0" w:type="auto"/>
          </w:tcPr>
          <w:p w14:paraId="3ED5D203" w14:textId="77777777" w:rsidR="00540C1D" w:rsidRDefault="00000000">
            <w:pPr>
              <w:pStyle w:val="Compact"/>
              <w:spacing w:after="0"/>
            </w:pPr>
            <w:r>
              <w:rPr>
                <w:sz w:val="18"/>
              </w:rPr>
              <w:t>+2.16</w:t>
            </w:r>
          </w:p>
        </w:tc>
        <w:tc>
          <w:tcPr>
            <w:tcW w:w="0" w:type="auto"/>
          </w:tcPr>
          <w:p w14:paraId="2BE69309" w14:textId="77777777" w:rsidR="00540C1D" w:rsidRDefault="00000000">
            <w:pPr>
              <w:pStyle w:val="Compact"/>
              <w:spacing w:after="0"/>
            </w:pPr>
            <w:r>
              <w:rPr>
                <w:sz w:val="18"/>
              </w:rPr>
              <w:t>+5.08</w:t>
            </w:r>
          </w:p>
        </w:tc>
        <w:tc>
          <w:tcPr>
            <w:tcW w:w="0" w:type="auto"/>
          </w:tcPr>
          <w:p w14:paraId="47A380DC" w14:textId="77777777" w:rsidR="00540C1D" w:rsidRDefault="00000000">
            <w:pPr>
              <w:pStyle w:val="Compact"/>
              <w:spacing w:after="0"/>
            </w:pPr>
            <w:r>
              <w:rPr>
                <w:sz w:val="18"/>
              </w:rPr>
              <w:t>+5.03</w:t>
            </w:r>
          </w:p>
        </w:tc>
      </w:tr>
      <w:tr w:rsidR="00540C1D" w14:paraId="7147D29D" w14:textId="77777777">
        <w:tc>
          <w:tcPr>
            <w:tcW w:w="0" w:type="auto"/>
          </w:tcPr>
          <w:p w14:paraId="3A41D3B5" w14:textId="77777777" w:rsidR="00540C1D" w:rsidRDefault="00000000">
            <w:pPr>
              <w:pStyle w:val="Compact"/>
              <w:spacing w:after="0"/>
            </w:pPr>
            <w:r>
              <w:rPr>
                <w:sz w:val="18"/>
              </w:rPr>
              <w:t>Total investment</w:t>
            </w:r>
          </w:p>
        </w:tc>
        <w:tc>
          <w:tcPr>
            <w:tcW w:w="0" w:type="auto"/>
          </w:tcPr>
          <w:p w14:paraId="0A6389D1" w14:textId="77777777" w:rsidR="00540C1D" w:rsidRDefault="00000000">
            <w:pPr>
              <w:pStyle w:val="Compact"/>
              <w:spacing w:after="0"/>
            </w:pPr>
            <w:r>
              <w:rPr>
                <w:sz w:val="18"/>
              </w:rPr>
              <w:t>−0.89</w:t>
            </w:r>
          </w:p>
        </w:tc>
        <w:tc>
          <w:tcPr>
            <w:tcW w:w="0" w:type="auto"/>
          </w:tcPr>
          <w:p w14:paraId="27AAE035" w14:textId="77777777" w:rsidR="00540C1D" w:rsidRDefault="00000000">
            <w:pPr>
              <w:pStyle w:val="Compact"/>
              <w:spacing w:after="0"/>
            </w:pPr>
            <w:r>
              <w:rPr>
                <w:sz w:val="18"/>
              </w:rPr>
              <w:t>−1.29</w:t>
            </w:r>
          </w:p>
        </w:tc>
        <w:tc>
          <w:tcPr>
            <w:tcW w:w="0" w:type="auto"/>
          </w:tcPr>
          <w:p w14:paraId="61681D74" w14:textId="77777777" w:rsidR="00540C1D" w:rsidRDefault="00000000">
            <w:pPr>
              <w:pStyle w:val="Compact"/>
              <w:spacing w:after="0"/>
            </w:pPr>
            <w:r>
              <w:rPr>
                <w:sz w:val="18"/>
              </w:rPr>
              <w:t>−2.07</w:t>
            </w:r>
          </w:p>
        </w:tc>
        <w:tc>
          <w:tcPr>
            <w:tcW w:w="0" w:type="auto"/>
          </w:tcPr>
          <w:p w14:paraId="723EE0ED" w14:textId="77777777" w:rsidR="00540C1D" w:rsidRDefault="00000000">
            <w:pPr>
              <w:pStyle w:val="Compact"/>
              <w:spacing w:after="0"/>
            </w:pPr>
            <w:r>
              <w:rPr>
                <w:sz w:val="18"/>
              </w:rPr>
              <w:t>−3.03</w:t>
            </w:r>
          </w:p>
        </w:tc>
      </w:tr>
      <w:tr w:rsidR="00540C1D" w14:paraId="788A29CA" w14:textId="77777777">
        <w:tc>
          <w:tcPr>
            <w:tcW w:w="0" w:type="auto"/>
          </w:tcPr>
          <w:p w14:paraId="6B67CE3D" w14:textId="77777777" w:rsidR="00540C1D" w:rsidRDefault="00000000">
            <w:pPr>
              <w:pStyle w:val="Compact"/>
              <w:spacing w:after="0"/>
            </w:pPr>
            <w:r>
              <w:rPr>
                <w:sz w:val="18"/>
              </w:rPr>
              <w:t>Import volume</w:t>
            </w:r>
          </w:p>
        </w:tc>
        <w:tc>
          <w:tcPr>
            <w:tcW w:w="0" w:type="auto"/>
          </w:tcPr>
          <w:p w14:paraId="085FE815" w14:textId="77777777" w:rsidR="00540C1D" w:rsidRDefault="00000000">
            <w:pPr>
              <w:pStyle w:val="Compact"/>
              <w:spacing w:after="0"/>
            </w:pPr>
            <w:r>
              <w:rPr>
                <w:sz w:val="18"/>
              </w:rPr>
              <w:t>−3.27</w:t>
            </w:r>
          </w:p>
        </w:tc>
        <w:tc>
          <w:tcPr>
            <w:tcW w:w="0" w:type="auto"/>
          </w:tcPr>
          <w:p w14:paraId="62573316" w14:textId="77777777" w:rsidR="00540C1D" w:rsidRDefault="00000000">
            <w:pPr>
              <w:pStyle w:val="Compact"/>
              <w:spacing w:after="0"/>
            </w:pPr>
            <w:r>
              <w:rPr>
                <w:sz w:val="18"/>
              </w:rPr>
              <w:t>−3.44</w:t>
            </w:r>
          </w:p>
        </w:tc>
        <w:tc>
          <w:tcPr>
            <w:tcW w:w="0" w:type="auto"/>
          </w:tcPr>
          <w:p w14:paraId="464FBB71" w14:textId="77777777" w:rsidR="00540C1D" w:rsidRDefault="00000000">
            <w:pPr>
              <w:pStyle w:val="Compact"/>
              <w:spacing w:after="0"/>
            </w:pPr>
            <w:r>
              <w:rPr>
                <w:sz w:val="18"/>
              </w:rPr>
              <w:t>−7.31</w:t>
            </w:r>
          </w:p>
        </w:tc>
        <w:tc>
          <w:tcPr>
            <w:tcW w:w="0" w:type="auto"/>
          </w:tcPr>
          <w:p w14:paraId="7BD6BFD4" w14:textId="77777777" w:rsidR="00540C1D" w:rsidRDefault="00000000">
            <w:pPr>
              <w:pStyle w:val="Compact"/>
              <w:spacing w:after="0"/>
            </w:pPr>
            <w:r>
              <w:rPr>
                <w:sz w:val="18"/>
              </w:rPr>
              <w:t>−7.71</w:t>
            </w:r>
          </w:p>
        </w:tc>
      </w:tr>
      <w:tr w:rsidR="00540C1D" w14:paraId="566B1053" w14:textId="77777777">
        <w:tc>
          <w:tcPr>
            <w:tcW w:w="0" w:type="auto"/>
          </w:tcPr>
          <w:p w14:paraId="67721B4C" w14:textId="77777777" w:rsidR="00540C1D" w:rsidRDefault="00000000">
            <w:pPr>
              <w:pStyle w:val="Compact"/>
              <w:spacing w:after="0"/>
            </w:pPr>
            <w:r>
              <w:rPr>
                <w:sz w:val="18"/>
              </w:rPr>
              <w:t>Export volume</w:t>
            </w:r>
          </w:p>
        </w:tc>
        <w:tc>
          <w:tcPr>
            <w:tcW w:w="0" w:type="auto"/>
          </w:tcPr>
          <w:p w14:paraId="1F8E28A0" w14:textId="77777777" w:rsidR="00540C1D" w:rsidRDefault="00000000">
            <w:pPr>
              <w:pStyle w:val="Compact"/>
              <w:spacing w:after="0"/>
            </w:pPr>
            <w:r>
              <w:rPr>
                <w:sz w:val="18"/>
              </w:rPr>
              <w:t>+2.75</w:t>
            </w:r>
          </w:p>
        </w:tc>
        <w:tc>
          <w:tcPr>
            <w:tcW w:w="0" w:type="auto"/>
          </w:tcPr>
          <w:p w14:paraId="2BB938D3" w14:textId="77777777" w:rsidR="00540C1D" w:rsidRDefault="00000000">
            <w:pPr>
              <w:pStyle w:val="Compact"/>
              <w:spacing w:after="0"/>
            </w:pPr>
            <w:r>
              <w:rPr>
                <w:sz w:val="18"/>
              </w:rPr>
              <w:t>+2.44</w:t>
            </w:r>
          </w:p>
        </w:tc>
        <w:tc>
          <w:tcPr>
            <w:tcW w:w="0" w:type="auto"/>
          </w:tcPr>
          <w:p w14:paraId="7BC5C10E" w14:textId="77777777" w:rsidR="00540C1D" w:rsidRDefault="00000000">
            <w:pPr>
              <w:pStyle w:val="Compact"/>
              <w:spacing w:after="0"/>
            </w:pPr>
            <w:r>
              <w:rPr>
                <w:sz w:val="18"/>
              </w:rPr>
              <w:t>+6.48</w:t>
            </w:r>
          </w:p>
        </w:tc>
        <w:tc>
          <w:tcPr>
            <w:tcW w:w="0" w:type="auto"/>
          </w:tcPr>
          <w:p w14:paraId="6C8C1E16" w14:textId="77777777" w:rsidR="00540C1D" w:rsidRDefault="00000000">
            <w:pPr>
              <w:pStyle w:val="Compact"/>
              <w:spacing w:after="0"/>
            </w:pPr>
            <w:r>
              <w:rPr>
                <w:sz w:val="18"/>
              </w:rPr>
              <w:t>+5.69</w:t>
            </w:r>
          </w:p>
        </w:tc>
      </w:tr>
      <w:tr w:rsidR="00540C1D" w14:paraId="18D08C39" w14:textId="77777777">
        <w:tc>
          <w:tcPr>
            <w:tcW w:w="0" w:type="auto"/>
          </w:tcPr>
          <w:p w14:paraId="645E345D" w14:textId="77777777" w:rsidR="00540C1D" w:rsidRDefault="00000000">
            <w:pPr>
              <w:pStyle w:val="Compact"/>
              <w:spacing w:after="0"/>
            </w:pPr>
            <w:r>
              <w:rPr>
                <w:sz w:val="18"/>
              </w:rPr>
              <w:t>Energy import bill ($)</w:t>
            </w:r>
          </w:p>
        </w:tc>
        <w:tc>
          <w:tcPr>
            <w:tcW w:w="0" w:type="auto"/>
          </w:tcPr>
          <w:p w14:paraId="0D0BC96D" w14:textId="77777777" w:rsidR="00540C1D" w:rsidRDefault="00000000">
            <w:pPr>
              <w:pStyle w:val="Compact"/>
              <w:spacing w:after="0"/>
            </w:pPr>
            <w:r>
              <w:rPr>
                <w:sz w:val="18"/>
              </w:rPr>
              <w:t>+25</w:t>
            </w:r>
          </w:p>
        </w:tc>
        <w:tc>
          <w:tcPr>
            <w:tcW w:w="0" w:type="auto"/>
          </w:tcPr>
          <w:p w14:paraId="183B14D2" w14:textId="77777777" w:rsidR="00540C1D" w:rsidRDefault="00000000">
            <w:pPr>
              <w:pStyle w:val="Compact"/>
              <w:spacing w:after="0"/>
            </w:pPr>
            <w:r>
              <w:rPr>
                <w:sz w:val="18"/>
              </w:rPr>
              <w:t>+25</w:t>
            </w:r>
          </w:p>
        </w:tc>
        <w:tc>
          <w:tcPr>
            <w:tcW w:w="0" w:type="auto"/>
          </w:tcPr>
          <w:p w14:paraId="2D9A74F0" w14:textId="77777777" w:rsidR="00540C1D" w:rsidRDefault="00000000">
            <w:pPr>
              <w:pStyle w:val="Compact"/>
              <w:spacing w:after="0"/>
            </w:pPr>
            <w:r>
              <w:rPr>
                <w:sz w:val="18"/>
              </w:rPr>
              <w:t>+59</w:t>
            </w:r>
          </w:p>
        </w:tc>
        <w:tc>
          <w:tcPr>
            <w:tcW w:w="0" w:type="auto"/>
          </w:tcPr>
          <w:p w14:paraId="1984DAF4" w14:textId="77777777" w:rsidR="00540C1D" w:rsidRDefault="00000000">
            <w:pPr>
              <w:pStyle w:val="Compact"/>
              <w:spacing w:after="0"/>
            </w:pPr>
            <w:r>
              <w:rPr>
                <w:sz w:val="18"/>
              </w:rPr>
              <w:t>+58</w:t>
            </w:r>
          </w:p>
        </w:tc>
      </w:tr>
      <w:tr w:rsidR="00540C1D" w14:paraId="1618D70A" w14:textId="77777777">
        <w:tc>
          <w:tcPr>
            <w:tcW w:w="0" w:type="auto"/>
          </w:tcPr>
          <w:p w14:paraId="13A0286C" w14:textId="77777777" w:rsidR="00540C1D" w:rsidRDefault="00000000">
            <w:pPr>
              <w:pStyle w:val="Compact"/>
              <w:spacing w:after="0"/>
            </w:pPr>
            <w:r>
              <w:rPr>
                <w:sz w:val="18"/>
              </w:rPr>
              <w:t>Govt saving (PKR tn; base −1.55)</w:t>
            </w:r>
          </w:p>
        </w:tc>
        <w:tc>
          <w:tcPr>
            <w:tcW w:w="0" w:type="auto"/>
          </w:tcPr>
          <w:p w14:paraId="023B762E" w14:textId="77777777" w:rsidR="00540C1D" w:rsidRDefault="00000000">
            <w:pPr>
              <w:pStyle w:val="Compact"/>
              <w:spacing w:after="0"/>
            </w:pPr>
            <w:r>
              <w:rPr>
                <w:sz w:val="18"/>
              </w:rPr>
              <w:t>−1.56</w:t>
            </w:r>
          </w:p>
        </w:tc>
        <w:tc>
          <w:tcPr>
            <w:tcW w:w="0" w:type="auto"/>
          </w:tcPr>
          <w:p w14:paraId="3E316601" w14:textId="77777777" w:rsidR="00540C1D" w:rsidRDefault="00000000">
            <w:pPr>
              <w:pStyle w:val="Compact"/>
              <w:spacing w:after="0"/>
            </w:pPr>
            <w:r>
              <w:rPr>
                <w:sz w:val="18"/>
              </w:rPr>
              <w:t>−1.57</w:t>
            </w:r>
          </w:p>
        </w:tc>
        <w:tc>
          <w:tcPr>
            <w:tcW w:w="0" w:type="auto"/>
          </w:tcPr>
          <w:p w14:paraId="0822FD0D" w14:textId="77777777" w:rsidR="00540C1D" w:rsidRDefault="00000000">
            <w:pPr>
              <w:pStyle w:val="Compact"/>
              <w:spacing w:after="0"/>
            </w:pPr>
            <w:r>
              <w:rPr>
                <w:sz w:val="18"/>
              </w:rPr>
              <w:t>−1.57</w:t>
            </w:r>
          </w:p>
        </w:tc>
        <w:tc>
          <w:tcPr>
            <w:tcW w:w="0" w:type="auto"/>
          </w:tcPr>
          <w:p w14:paraId="4152872E" w14:textId="77777777" w:rsidR="00540C1D" w:rsidRDefault="00000000">
            <w:pPr>
              <w:pStyle w:val="Compact"/>
              <w:spacing w:after="0"/>
            </w:pPr>
            <w:r>
              <w:rPr>
                <w:sz w:val="18"/>
              </w:rPr>
              <w:t>−1.59</w:t>
            </w:r>
          </w:p>
        </w:tc>
      </w:tr>
    </w:tbl>
    <w:p w14:paraId="412565F5" w14:textId="77777777" w:rsidR="00015800" w:rsidRDefault="00015800"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32" w:name="sectoral-effects"/>
      <w:bookmarkEnd w:id="31"/>
      <w:r w:rsidRPr="00015800">
        <w:rPr>
          <w:rFonts w:ascii="Times New Roman" w:eastAsia="Times New Roman" w:hAnsi="Times New Roman" w:cs="Times New Roman"/>
          <w:b w:val="0"/>
          <w:bCs w:val="0"/>
          <w:color w:val="auto"/>
          <w:sz w:val="22"/>
          <w:szCs w:val="24"/>
        </w:rPr>
        <w:t xml:space="preserve">The rate of exchange is adjusted. Hard to reduce energy imports; dollar import bill increases by 25-59%. With foreign savings fixed, it is necessary for a rupee depreciation of 2-5% to increase exports, while reducing the other imports. </w:t>
      </w:r>
    </w:p>
    <w:p w14:paraId="39C7E453" w14:textId="7F056D68" w:rsidR="00015800" w:rsidRDefault="00015800" w:rsidP="00FA3D3D">
      <w:pPr>
        <w:pStyle w:val="Heading2"/>
        <w:spacing w:after="120" w:line="360" w:lineRule="auto"/>
        <w:jc w:val="both"/>
        <w:rPr>
          <w:rFonts w:ascii="Times New Roman" w:eastAsia="Times New Roman" w:hAnsi="Times New Roman" w:cs="Times New Roman"/>
          <w:b w:val="0"/>
          <w:bCs w:val="0"/>
          <w:color w:val="auto"/>
          <w:sz w:val="22"/>
          <w:szCs w:val="24"/>
        </w:rPr>
      </w:pPr>
      <w:r w:rsidRPr="00015800">
        <w:rPr>
          <w:rFonts w:ascii="Times New Roman" w:eastAsia="Times New Roman" w:hAnsi="Times New Roman" w:cs="Times New Roman"/>
          <w:b w:val="0"/>
          <w:bCs w:val="0"/>
          <w:color w:val="auto"/>
          <w:sz w:val="22"/>
          <w:szCs w:val="24"/>
        </w:rPr>
        <w:t>How the loss materializes is determined by the closure of the labor marketing. Under FULL wage drops by up to 1.5% at most; under this income loss, GDP changes are insignificant as all workers continue to work. UNEMP holds the real wage rate constant and firms lay people off rather – employment declines up to 1.9% and real GDP declines 0.54% during UNEMP. Losses for both times are up to 3% due to reduced real savings.</w:t>
      </w:r>
    </w:p>
    <w:p w14:paraId="2EFEB7DA" w14:textId="02D17D7D" w:rsidR="00540C1D" w:rsidRDefault="00000000">
      <w:pPr>
        <w:pStyle w:val="Heading2"/>
        <w:spacing w:after="120"/>
      </w:pPr>
      <w:r>
        <w:t>7.2 Sectoral effects</w:t>
      </w:r>
    </w:p>
    <w:p w14:paraId="7CE0043A" w14:textId="77777777" w:rsidR="00540C1D" w:rsidRDefault="00000000">
      <w:pPr>
        <w:pStyle w:val="FirstParagraph"/>
        <w:spacing w:after="120"/>
      </w:pPr>
      <w:r>
        <w:rPr>
          <w:b/>
          <w:bCs/>
        </w:rPr>
        <w:t>Table 10. Sectoral effects, B71 UNEMP (% change)</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86"/>
        <w:gridCol w:w="717"/>
        <w:gridCol w:w="1146"/>
        <w:gridCol w:w="776"/>
        <w:gridCol w:w="1401"/>
      </w:tblGrid>
      <w:tr w:rsidR="00540C1D" w14:paraId="0835F063" w14:textId="77777777" w:rsidTr="00540C1D">
        <w:trPr>
          <w:cnfStyle w:val="100000000000" w:firstRow="1" w:lastRow="0" w:firstColumn="0" w:lastColumn="0" w:oddVBand="0" w:evenVBand="0" w:oddHBand="0" w:evenHBand="0" w:firstRowFirstColumn="0" w:firstRowLastColumn="0" w:lastRowFirstColumn="0" w:lastRowLastColumn="0"/>
          <w:tblHeader/>
        </w:trPr>
        <w:tc>
          <w:tcPr>
            <w:tcW w:w="0" w:type="auto"/>
          </w:tcPr>
          <w:p w14:paraId="390F23B3" w14:textId="77777777" w:rsidR="00540C1D" w:rsidRDefault="00000000">
            <w:pPr>
              <w:pStyle w:val="Compact"/>
              <w:spacing w:after="0"/>
            </w:pPr>
            <w:r>
              <w:rPr>
                <w:sz w:val="18"/>
              </w:rPr>
              <w:t>Sector</w:t>
            </w:r>
          </w:p>
        </w:tc>
        <w:tc>
          <w:tcPr>
            <w:tcW w:w="0" w:type="auto"/>
          </w:tcPr>
          <w:p w14:paraId="14D962F8" w14:textId="77777777" w:rsidR="00540C1D" w:rsidRDefault="00000000">
            <w:pPr>
              <w:pStyle w:val="Compact"/>
              <w:spacing w:after="0"/>
            </w:pPr>
            <w:r>
              <w:rPr>
                <w:sz w:val="18"/>
              </w:rPr>
              <w:t>Output</w:t>
            </w:r>
          </w:p>
        </w:tc>
        <w:tc>
          <w:tcPr>
            <w:tcW w:w="0" w:type="auto"/>
          </w:tcPr>
          <w:p w14:paraId="72B68EDF" w14:textId="77777777" w:rsidR="00540C1D" w:rsidRDefault="00000000">
            <w:pPr>
              <w:pStyle w:val="Compact"/>
              <w:spacing w:after="0"/>
            </w:pPr>
            <w:r>
              <w:rPr>
                <w:sz w:val="18"/>
              </w:rPr>
              <w:t>Employment</w:t>
            </w:r>
          </w:p>
        </w:tc>
        <w:tc>
          <w:tcPr>
            <w:tcW w:w="0" w:type="auto"/>
          </w:tcPr>
          <w:p w14:paraId="6093E57D" w14:textId="77777777" w:rsidR="00540C1D" w:rsidRDefault="00000000">
            <w:pPr>
              <w:pStyle w:val="Compact"/>
              <w:spacing w:after="0"/>
            </w:pPr>
            <w:r>
              <w:rPr>
                <w:sz w:val="18"/>
              </w:rPr>
              <w:t>Imports</w:t>
            </w:r>
          </w:p>
        </w:tc>
        <w:tc>
          <w:tcPr>
            <w:tcW w:w="0" w:type="auto"/>
          </w:tcPr>
          <w:p w14:paraId="24D7DC94" w14:textId="77777777" w:rsidR="00540C1D" w:rsidRDefault="00000000">
            <w:pPr>
              <w:pStyle w:val="Compact"/>
              <w:spacing w:after="0"/>
            </w:pPr>
            <w:r>
              <w:rPr>
                <w:sz w:val="18"/>
              </w:rPr>
              <w:t>Composite price</w:t>
            </w:r>
          </w:p>
        </w:tc>
      </w:tr>
      <w:tr w:rsidR="00540C1D" w14:paraId="36107BBE" w14:textId="77777777">
        <w:tc>
          <w:tcPr>
            <w:tcW w:w="0" w:type="auto"/>
          </w:tcPr>
          <w:p w14:paraId="1853B88B" w14:textId="77777777" w:rsidR="00540C1D" w:rsidRDefault="00000000">
            <w:pPr>
              <w:pStyle w:val="Compact"/>
              <w:spacing w:after="0"/>
            </w:pPr>
            <w:r>
              <w:rPr>
                <w:sz w:val="18"/>
              </w:rPr>
              <w:t>Agriculture</w:t>
            </w:r>
          </w:p>
        </w:tc>
        <w:tc>
          <w:tcPr>
            <w:tcW w:w="0" w:type="auto"/>
          </w:tcPr>
          <w:p w14:paraId="5EDB7746" w14:textId="77777777" w:rsidR="00540C1D" w:rsidRDefault="00000000">
            <w:pPr>
              <w:pStyle w:val="Compact"/>
              <w:spacing w:after="0"/>
            </w:pPr>
            <w:r>
              <w:rPr>
                <w:sz w:val="18"/>
              </w:rPr>
              <w:t>−0.52</w:t>
            </w:r>
          </w:p>
        </w:tc>
        <w:tc>
          <w:tcPr>
            <w:tcW w:w="0" w:type="auto"/>
          </w:tcPr>
          <w:p w14:paraId="247B9CE9" w14:textId="77777777" w:rsidR="00540C1D" w:rsidRDefault="00000000">
            <w:pPr>
              <w:pStyle w:val="Compact"/>
              <w:spacing w:after="0"/>
            </w:pPr>
            <w:r>
              <w:rPr>
                <w:sz w:val="18"/>
              </w:rPr>
              <w:t>−1.65</w:t>
            </w:r>
          </w:p>
        </w:tc>
        <w:tc>
          <w:tcPr>
            <w:tcW w:w="0" w:type="auto"/>
          </w:tcPr>
          <w:p w14:paraId="353F6060" w14:textId="77777777" w:rsidR="00540C1D" w:rsidRDefault="00000000">
            <w:pPr>
              <w:pStyle w:val="Compact"/>
              <w:spacing w:after="0"/>
            </w:pPr>
            <w:r>
              <w:rPr>
                <w:sz w:val="18"/>
              </w:rPr>
              <w:t>−9.01</w:t>
            </w:r>
          </w:p>
        </w:tc>
        <w:tc>
          <w:tcPr>
            <w:tcW w:w="0" w:type="auto"/>
          </w:tcPr>
          <w:p w14:paraId="5B611286" w14:textId="77777777" w:rsidR="00540C1D" w:rsidRDefault="00000000">
            <w:pPr>
              <w:pStyle w:val="Compact"/>
              <w:spacing w:after="0"/>
            </w:pPr>
            <w:r>
              <w:rPr>
                <w:sz w:val="18"/>
              </w:rPr>
              <w:t>−0.76</w:t>
            </w:r>
          </w:p>
        </w:tc>
      </w:tr>
      <w:tr w:rsidR="00540C1D" w14:paraId="09368DC5" w14:textId="77777777">
        <w:tc>
          <w:tcPr>
            <w:tcW w:w="0" w:type="auto"/>
          </w:tcPr>
          <w:p w14:paraId="3167F26E" w14:textId="77777777" w:rsidR="00540C1D" w:rsidRDefault="00000000">
            <w:pPr>
              <w:pStyle w:val="Compact"/>
              <w:spacing w:after="0"/>
            </w:pPr>
            <w:r>
              <w:rPr>
                <w:sz w:val="18"/>
              </w:rPr>
              <w:t>Energy</w:t>
            </w:r>
          </w:p>
        </w:tc>
        <w:tc>
          <w:tcPr>
            <w:tcW w:w="0" w:type="auto"/>
          </w:tcPr>
          <w:p w14:paraId="7BCC2798" w14:textId="77777777" w:rsidR="00540C1D" w:rsidRDefault="00000000">
            <w:pPr>
              <w:pStyle w:val="Compact"/>
              <w:spacing w:after="0"/>
            </w:pPr>
            <w:r>
              <w:rPr>
                <w:sz w:val="18"/>
              </w:rPr>
              <w:t>−1.49</w:t>
            </w:r>
          </w:p>
        </w:tc>
        <w:tc>
          <w:tcPr>
            <w:tcW w:w="0" w:type="auto"/>
          </w:tcPr>
          <w:p w14:paraId="6217F6EA" w14:textId="77777777" w:rsidR="00540C1D" w:rsidRDefault="00000000">
            <w:pPr>
              <w:pStyle w:val="Compact"/>
              <w:spacing w:after="0"/>
            </w:pPr>
            <w:r>
              <w:rPr>
                <w:sz w:val="18"/>
              </w:rPr>
              <w:t>−26.29</w:t>
            </w:r>
          </w:p>
        </w:tc>
        <w:tc>
          <w:tcPr>
            <w:tcW w:w="0" w:type="auto"/>
          </w:tcPr>
          <w:p w14:paraId="4C686339" w14:textId="77777777" w:rsidR="00540C1D" w:rsidRDefault="00000000">
            <w:pPr>
              <w:pStyle w:val="Compact"/>
              <w:spacing w:after="0"/>
            </w:pPr>
            <w:r>
              <w:rPr>
                <w:sz w:val="18"/>
              </w:rPr>
              <w:t>−7.61</w:t>
            </w:r>
          </w:p>
        </w:tc>
        <w:tc>
          <w:tcPr>
            <w:tcW w:w="0" w:type="auto"/>
          </w:tcPr>
          <w:p w14:paraId="5BB350FB" w14:textId="77777777" w:rsidR="00540C1D" w:rsidRDefault="00000000">
            <w:pPr>
              <w:pStyle w:val="Compact"/>
              <w:spacing w:after="0"/>
            </w:pPr>
            <w:r>
              <w:rPr>
                <w:sz w:val="18"/>
              </w:rPr>
              <w:t>+10.26</w:t>
            </w:r>
          </w:p>
        </w:tc>
      </w:tr>
      <w:tr w:rsidR="00540C1D" w14:paraId="6FD17983" w14:textId="77777777">
        <w:tc>
          <w:tcPr>
            <w:tcW w:w="0" w:type="auto"/>
          </w:tcPr>
          <w:p w14:paraId="0CE97737" w14:textId="77777777" w:rsidR="00540C1D" w:rsidRDefault="00000000">
            <w:pPr>
              <w:pStyle w:val="Compact"/>
              <w:spacing w:after="0"/>
            </w:pPr>
            <w:r>
              <w:rPr>
                <w:sz w:val="18"/>
              </w:rPr>
              <w:t>Manufacturing</w:t>
            </w:r>
          </w:p>
        </w:tc>
        <w:tc>
          <w:tcPr>
            <w:tcW w:w="0" w:type="auto"/>
          </w:tcPr>
          <w:p w14:paraId="738F38BE" w14:textId="77777777" w:rsidR="00540C1D" w:rsidRDefault="00000000">
            <w:pPr>
              <w:pStyle w:val="Compact"/>
              <w:spacing w:after="0"/>
            </w:pPr>
            <w:r>
              <w:rPr>
                <w:sz w:val="18"/>
              </w:rPr>
              <w:t>+0.31</w:t>
            </w:r>
          </w:p>
        </w:tc>
        <w:tc>
          <w:tcPr>
            <w:tcW w:w="0" w:type="auto"/>
          </w:tcPr>
          <w:p w14:paraId="5880C0F7" w14:textId="77777777" w:rsidR="00540C1D" w:rsidRDefault="00000000">
            <w:pPr>
              <w:pStyle w:val="Compact"/>
              <w:spacing w:after="0"/>
            </w:pPr>
            <w:r>
              <w:rPr>
                <w:sz w:val="18"/>
              </w:rPr>
              <w:t>+0.77</w:t>
            </w:r>
          </w:p>
        </w:tc>
        <w:tc>
          <w:tcPr>
            <w:tcW w:w="0" w:type="auto"/>
          </w:tcPr>
          <w:p w14:paraId="5E77ABF4" w14:textId="77777777" w:rsidR="00540C1D" w:rsidRDefault="00000000">
            <w:pPr>
              <w:pStyle w:val="Compact"/>
              <w:spacing w:after="0"/>
            </w:pPr>
            <w:r>
              <w:rPr>
                <w:sz w:val="18"/>
              </w:rPr>
              <w:t>−8.22</w:t>
            </w:r>
          </w:p>
        </w:tc>
        <w:tc>
          <w:tcPr>
            <w:tcW w:w="0" w:type="auto"/>
          </w:tcPr>
          <w:p w14:paraId="300CA2E2" w14:textId="77777777" w:rsidR="00540C1D" w:rsidRDefault="00000000">
            <w:pPr>
              <w:pStyle w:val="Compact"/>
              <w:spacing w:after="0"/>
            </w:pPr>
            <w:r>
              <w:rPr>
                <w:sz w:val="18"/>
              </w:rPr>
              <w:t>+0.73</w:t>
            </w:r>
          </w:p>
        </w:tc>
      </w:tr>
      <w:tr w:rsidR="00540C1D" w14:paraId="7FA6666D" w14:textId="77777777">
        <w:tc>
          <w:tcPr>
            <w:tcW w:w="0" w:type="auto"/>
          </w:tcPr>
          <w:p w14:paraId="522F8662" w14:textId="77777777" w:rsidR="00540C1D" w:rsidRDefault="00000000">
            <w:pPr>
              <w:pStyle w:val="Compact"/>
              <w:spacing w:after="0"/>
            </w:pPr>
            <w:r>
              <w:rPr>
                <w:sz w:val="18"/>
              </w:rPr>
              <w:t>Services</w:t>
            </w:r>
          </w:p>
        </w:tc>
        <w:tc>
          <w:tcPr>
            <w:tcW w:w="0" w:type="auto"/>
          </w:tcPr>
          <w:p w14:paraId="044337BF" w14:textId="77777777" w:rsidR="00540C1D" w:rsidRDefault="00000000">
            <w:pPr>
              <w:pStyle w:val="Compact"/>
              <w:spacing w:after="0"/>
            </w:pPr>
            <w:r>
              <w:rPr>
                <w:sz w:val="18"/>
              </w:rPr>
              <w:t>−0.64</w:t>
            </w:r>
          </w:p>
        </w:tc>
        <w:tc>
          <w:tcPr>
            <w:tcW w:w="0" w:type="auto"/>
          </w:tcPr>
          <w:p w14:paraId="21BE3B35" w14:textId="77777777" w:rsidR="00540C1D" w:rsidRDefault="00000000">
            <w:pPr>
              <w:pStyle w:val="Compact"/>
              <w:spacing w:after="0"/>
            </w:pPr>
            <w:r>
              <w:rPr>
                <w:sz w:val="18"/>
              </w:rPr>
              <w:t>−2.52</w:t>
            </w:r>
          </w:p>
        </w:tc>
        <w:tc>
          <w:tcPr>
            <w:tcW w:w="0" w:type="auto"/>
          </w:tcPr>
          <w:p w14:paraId="19F22929" w14:textId="77777777" w:rsidR="00540C1D" w:rsidRDefault="00000000">
            <w:pPr>
              <w:pStyle w:val="Compact"/>
              <w:spacing w:after="0"/>
            </w:pPr>
            <w:r>
              <w:rPr>
                <w:sz w:val="18"/>
              </w:rPr>
              <w:t>−5.56</w:t>
            </w:r>
          </w:p>
        </w:tc>
        <w:tc>
          <w:tcPr>
            <w:tcW w:w="0" w:type="auto"/>
          </w:tcPr>
          <w:p w14:paraId="7A21D99D" w14:textId="77777777" w:rsidR="00540C1D" w:rsidRDefault="00000000">
            <w:pPr>
              <w:pStyle w:val="Compact"/>
              <w:spacing w:after="0"/>
            </w:pPr>
            <w:r>
              <w:rPr>
                <w:sz w:val="18"/>
              </w:rPr>
              <w:t>−0.98</w:t>
            </w:r>
          </w:p>
        </w:tc>
      </w:tr>
    </w:tbl>
    <w:p w14:paraId="45BD80B0" w14:textId="4F4B156E" w:rsidR="00015800" w:rsidRDefault="00015800"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33" w:name="household-effects"/>
      <w:bookmarkEnd w:id="32"/>
      <w:r w:rsidRPr="00015800">
        <w:rPr>
          <w:rFonts w:ascii="Times New Roman" w:eastAsia="Times New Roman" w:hAnsi="Times New Roman" w:cs="Times New Roman"/>
          <w:b w:val="0"/>
          <w:bCs w:val="0"/>
          <w:color w:val="auto"/>
          <w:sz w:val="22"/>
          <w:szCs w:val="24"/>
        </w:rPr>
        <w:lastRenderedPageBreak/>
        <w:t xml:space="preserve">Energy is most impacted. Imported fuel cannot be replaced by local refineries or power plants, resulting in a reduction of energy output of 1.5%, and 26% of energy employment. The high volume of job loss is due to </w:t>
      </w:r>
      <w:r w:rsidR="00FA3D3D" w:rsidRPr="00015800">
        <w:rPr>
          <w:rFonts w:ascii="Times New Roman" w:eastAsia="Times New Roman" w:hAnsi="Times New Roman" w:cs="Times New Roman"/>
          <w:b w:val="0"/>
          <w:bCs w:val="0"/>
          <w:color w:val="auto"/>
          <w:sz w:val="22"/>
          <w:szCs w:val="24"/>
        </w:rPr>
        <w:t>labor</w:t>
      </w:r>
      <w:r w:rsidRPr="00015800">
        <w:rPr>
          <w:rFonts w:ascii="Times New Roman" w:eastAsia="Times New Roman" w:hAnsi="Times New Roman" w:cs="Times New Roman"/>
          <w:b w:val="0"/>
          <w:bCs w:val="0"/>
          <w:color w:val="auto"/>
          <w:sz w:val="22"/>
          <w:szCs w:val="24"/>
        </w:rPr>
        <w:t xml:space="preserve"> being the small share of the value added in the energy sector, thus the small amount of reduction in energy output that comes as a result leads to a significant reduction in the variable factor, which in this case is labor. </w:t>
      </w:r>
    </w:p>
    <w:p w14:paraId="742F98B4" w14:textId="77777777" w:rsidR="00015800" w:rsidRDefault="00015800" w:rsidP="00FA3D3D">
      <w:pPr>
        <w:pStyle w:val="Heading2"/>
        <w:spacing w:after="120" w:line="360" w:lineRule="auto"/>
        <w:jc w:val="both"/>
        <w:rPr>
          <w:rFonts w:ascii="Times New Roman" w:eastAsia="Times New Roman" w:hAnsi="Times New Roman" w:cs="Times New Roman"/>
          <w:b w:val="0"/>
          <w:bCs w:val="0"/>
          <w:color w:val="auto"/>
          <w:sz w:val="22"/>
          <w:szCs w:val="24"/>
        </w:rPr>
      </w:pPr>
      <w:r w:rsidRPr="00015800">
        <w:rPr>
          <w:rFonts w:ascii="Times New Roman" w:eastAsia="Times New Roman" w:hAnsi="Times New Roman" w:cs="Times New Roman"/>
          <w:b w:val="0"/>
          <w:bCs w:val="0"/>
          <w:color w:val="auto"/>
          <w:sz w:val="22"/>
          <w:szCs w:val="24"/>
        </w:rPr>
        <w:t xml:space="preserve">Services </w:t>
      </w:r>
      <w:proofErr w:type="gramStart"/>
      <w:r w:rsidRPr="00015800">
        <w:rPr>
          <w:rFonts w:ascii="Times New Roman" w:eastAsia="Times New Roman" w:hAnsi="Times New Roman" w:cs="Times New Roman"/>
          <w:b w:val="0"/>
          <w:bCs w:val="0"/>
          <w:color w:val="auto"/>
          <w:sz w:val="22"/>
          <w:szCs w:val="24"/>
        </w:rPr>
        <w:t>has</w:t>
      </w:r>
      <w:proofErr w:type="gramEnd"/>
      <w:r w:rsidRPr="00015800">
        <w:rPr>
          <w:rFonts w:ascii="Times New Roman" w:eastAsia="Times New Roman" w:hAnsi="Times New Roman" w:cs="Times New Roman"/>
          <w:b w:val="0"/>
          <w:bCs w:val="0"/>
          <w:color w:val="auto"/>
          <w:sz w:val="22"/>
          <w:szCs w:val="24"/>
        </w:rPr>
        <w:t xml:space="preserve"> the highest percentage decline in employment (2.5% of jobs lost) and the largest absolute employment decline of any sector, being the largest employer (outside of energy) and largest energy consumer outside of energy. Production rises marginally (+0.3%). The cost of depreciation for exports of textiles reduces their prices, but increases the costs of energy. </w:t>
      </w:r>
    </w:p>
    <w:p w14:paraId="0E0CBED4" w14:textId="11FEB9EE" w:rsidR="00015800" w:rsidRDefault="00015800" w:rsidP="00FA3D3D">
      <w:pPr>
        <w:pStyle w:val="Heading2"/>
        <w:spacing w:after="120" w:line="360" w:lineRule="auto"/>
        <w:jc w:val="both"/>
        <w:rPr>
          <w:rFonts w:ascii="Times New Roman" w:eastAsia="Times New Roman" w:hAnsi="Times New Roman" w:cs="Times New Roman"/>
          <w:b w:val="0"/>
          <w:bCs w:val="0"/>
          <w:color w:val="auto"/>
          <w:sz w:val="22"/>
          <w:szCs w:val="24"/>
        </w:rPr>
      </w:pPr>
      <w:r w:rsidRPr="00015800">
        <w:rPr>
          <w:rFonts w:ascii="Times New Roman" w:eastAsia="Times New Roman" w:hAnsi="Times New Roman" w:cs="Times New Roman"/>
          <w:b w:val="0"/>
          <w:bCs w:val="0"/>
          <w:color w:val="auto"/>
          <w:sz w:val="22"/>
          <w:szCs w:val="24"/>
        </w:rPr>
        <w:t>Domestic energy price increases by 10% which is significantly low compared with the import energy price rise of 71%. The percentage of energy coming from imports by the model is 18% and the value of domestic energy used in the model is equivalent to the cost price rather than the import parity price. In reality, petroleum prices in Pakistan are quoting at import parity which again means the actual consumer price increase may be more than this. We will be to this again in Section 9.</w:t>
      </w:r>
    </w:p>
    <w:p w14:paraId="64D89810" w14:textId="6E6AB0C7" w:rsidR="00540C1D" w:rsidRDefault="00000000">
      <w:pPr>
        <w:pStyle w:val="Heading2"/>
        <w:spacing w:after="120"/>
      </w:pPr>
      <w:r>
        <w:t>7.3 Household effects</w:t>
      </w:r>
    </w:p>
    <w:p w14:paraId="644E9D43" w14:textId="77777777" w:rsidR="00540C1D" w:rsidRDefault="00000000">
      <w:pPr>
        <w:pStyle w:val="FirstParagraph"/>
        <w:spacing w:after="120"/>
      </w:pPr>
      <w:r>
        <w:rPr>
          <w:b/>
          <w:bCs/>
        </w:rPr>
        <w:t>Table 11. Household income and welfare (% change)</w:t>
      </w:r>
    </w:p>
    <w:tbl>
      <w:tblPr>
        <w:tblStyle w:val="Table"/>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51"/>
        <w:gridCol w:w="1021"/>
        <w:gridCol w:w="1202"/>
        <w:gridCol w:w="1012"/>
        <w:gridCol w:w="1192"/>
      </w:tblGrid>
      <w:tr w:rsidR="00540C1D" w14:paraId="51283517" w14:textId="77777777" w:rsidTr="00FA3D3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6F4126B" w14:textId="77777777" w:rsidR="00540C1D" w:rsidRDefault="00000000">
            <w:pPr>
              <w:pStyle w:val="Compact"/>
              <w:spacing w:after="0"/>
            </w:pPr>
            <w:r>
              <w:rPr>
                <w:sz w:val="18"/>
              </w:rPr>
              <w:t>Household</w:t>
            </w:r>
          </w:p>
        </w:tc>
        <w:tc>
          <w:tcPr>
            <w:tcW w:w="0" w:type="auto"/>
          </w:tcPr>
          <w:p w14:paraId="4C736F1B" w14:textId="77777777" w:rsidR="00540C1D" w:rsidRDefault="00000000">
            <w:pPr>
              <w:pStyle w:val="Compact"/>
              <w:spacing w:after="0"/>
            </w:pPr>
            <w:r>
              <w:rPr>
                <w:sz w:val="18"/>
              </w:rPr>
              <w:t>A30 FULL</w:t>
            </w:r>
          </w:p>
        </w:tc>
        <w:tc>
          <w:tcPr>
            <w:tcW w:w="0" w:type="auto"/>
          </w:tcPr>
          <w:p w14:paraId="037A4FA8" w14:textId="77777777" w:rsidR="00540C1D" w:rsidRDefault="00000000">
            <w:pPr>
              <w:pStyle w:val="Compact"/>
              <w:spacing w:after="0"/>
            </w:pPr>
            <w:r>
              <w:rPr>
                <w:sz w:val="18"/>
              </w:rPr>
              <w:t>A30 UNEMP</w:t>
            </w:r>
          </w:p>
        </w:tc>
        <w:tc>
          <w:tcPr>
            <w:tcW w:w="0" w:type="auto"/>
          </w:tcPr>
          <w:p w14:paraId="064E8247" w14:textId="77777777" w:rsidR="00540C1D" w:rsidRDefault="00000000">
            <w:pPr>
              <w:pStyle w:val="Compact"/>
              <w:spacing w:after="0"/>
            </w:pPr>
            <w:r>
              <w:rPr>
                <w:sz w:val="18"/>
              </w:rPr>
              <w:t>B71 FULL</w:t>
            </w:r>
          </w:p>
        </w:tc>
        <w:tc>
          <w:tcPr>
            <w:tcW w:w="0" w:type="auto"/>
          </w:tcPr>
          <w:p w14:paraId="0CE891A6" w14:textId="77777777" w:rsidR="00540C1D" w:rsidRDefault="00000000">
            <w:pPr>
              <w:pStyle w:val="Compact"/>
              <w:spacing w:after="0"/>
            </w:pPr>
            <w:r>
              <w:rPr>
                <w:sz w:val="18"/>
              </w:rPr>
              <w:t>B71 UNEMP</w:t>
            </w:r>
          </w:p>
        </w:tc>
      </w:tr>
      <w:tr w:rsidR="00540C1D" w14:paraId="54A6C3AE" w14:textId="77777777" w:rsidTr="00FA3D3D">
        <w:trPr>
          <w:jc w:val="center"/>
        </w:trPr>
        <w:tc>
          <w:tcPr>
            <w:tcW w:w="0" w:type="auto"/>
          </w:tcPr>
          <w:p w14:paraId="0E899E82" w14:textId="77777777" w:rsidR="00540C1D" w:rsidRDefault="00000000">
            <w:pPr>
              <w:pStyle w:val="Compact"/>
              <w:spacing w:after="0"/>
            </w:pPr>
            <w:r>
              <w:rPr>
                <w:sz w:val="18"/>
              </w:rPr>
              <w:t>Urban income</w:t>
            </w:r>
          </w:p>
        </w:tc>
        <w:tc>
          <w:tcPr>
            <w:tcW w:w="0" w:type="auto"/>
          </w:tcPr>
          <w:p w14:paraId="50928AF6" w14:textId="77777777" w:rsidR="00540C1D" w:rsidRDefault="00000000">
            <w:pPr>
              <w:pStyle w:val="Compact"/>
              <w:spacing w:after="0"/>
            </w:pPr>
            <w:r>
              <w:rPr>
                <w:sz w:val="18"/>
              </w:rPr>
              <w:t>−0.87</w:t>
            </w:r>
          </w:p>
        </w:tc>
        <w:tc>
          <w:tcPr>
            <w:tcW w:w="0" w:type="auto"/>
          </w:tcPr>
          <w:p w14:paraId="20E9DFE1" w14:textId="77777777" w:rsidR="00540C1D" w:rsidRDefault="00000000">
            <w:pPr>
              <w:pStyle w:val="Compact"/>
              <w:spacing w:after="0"/>
            </w:pPr>
            <w:r>
              <w:rPr>
                <w:sz w:val="18"/>
              </w:rPr>
              <w:t>−1.06</w:t>
            </w:r>
          </w:p>
        </w:tc>
        <w:tc>
          <w:tcPr>
            <w:tcW w:w="0" w:type="auto"/>
          </w:tcPr>
          <w:p w14:paraId="473E6C6A" w14:textId="77777777" w:rsidR="00540C1D" w:rsidRDefault="00000000">
            <w:pPr>
              <w:pStyle w:val="Compact"/>
              <w:spacing w:after="0"/>
            </w:pPr>
            <w:r>
              <w:rPr>
                <w:sz w:val="18"/>
              </w:rPr>
              <w:t>−2.06</w:t>
            </w:r>
          </w:p>
        </w:tc>
        <w:tc>
          <w:tcPr>
            <w:tcW w:w="0" w:type="auto"/>
          </w:tcPr>
          <w:p w14:paraId="40D208C2" w14:textId="77777777" w:rsidR="00540C1D" w:rsidRDefault="00000000">
            <w:pPr>
              <w:pStyle w:val="Compact"/>
              <w:spacing w:after="0"/>
            </w:pPr>
            <w:r>
              <w:rPr>
                <w:sz w:val="18"/>
              </w:rPr>
              <w:t>−2.52</w:t>
            </w:r>
          </w:p>
        </w:tc>
      </w:tr>
      <w:tr w:rsidR="00540C1D" w14:paraId="1AB5F1DE" w14:textId="77777777" w:rsidTr="00FA3D3D">
        <w:trPr>
          <w:jc w:val="center"/>
        </w:trPr>
        <w:tc>
          <w:tcPr>
            <w:tcW w:w="0" w:type="auto"/>
          </w:tcPr>
          <w:p w14:paraId="1CADD5CF" w14:textId="77777777" w:rsidR="00540C1D" w:rsidRDefault="00000000">
            <w:pPr>
              <w:pStyle w:val="Compact"/>
              <w:spacing w:after="0"/>
            </w:pPr>
            <w:r>
              <w:rPr>
                <w:sz w:val="18"/>
              </w:rPr>
              <w:t>Rural income</w:t>
            </w:r>
          </w:p>
        </w:tc>
        <w:tc>
          <w:tcPr>
            <w:tcW w:w="0" w:type="auto"/>
          </w:tcPr>
          <w:p w14:paraId="53F039BE" w14:textId="77777777" w:rsidR="00540C1D" w:rsidRDefault="00000000">
            <w:pPr>
              <w:pStyle w:val="Compact"/>
              <w:spacing w:after="0"/>
            </w:pPr>
            <w:r>
              <w:rPr>
                <w:sz w:val="18"/>
              </w:rPr>
              <w:t>−0.79</w:t>
            </w:r>
          </w:p>
        </w:tc>
        <w:tc>
          <w:tcPr>
            <w:tcW w:w="0" w:type="auto"/>
          </w:tcPr>
          <w:p w14:paraId="41E41C2B" w14:textId="77777777" w:rsidR="00540C1D" w:rsidRDefault="00000000">
            <w:pPr>
              <w:pStyle w:val="Compact"/>
              <w:spacing w:after="0"/>
            </w:pPr>
            <w:r>
              <w:rPr>
                <w:sz w:val="18"/>
              </w:rPr>
              <w:t>−0.98</w:t>
            </w:r>
          </w:p>
        </w:tc>
        <w:tc>
          <w:tcPr>
            <w:tcW w:w="0" w:type="auto"/>
          </w:tcPr>
          <w:p w14:paraId="671977E8" w14:textId="77777777" w:rsidR="00540C1D" w:rsidRDefault="00000000">
            <w:pPr>
              <w:pStyle w:val="Compact"/>
              <w:spacing w:after="0"/>
            </w:pPr>
            <w:r>
              <w:rPr>
                <w:sz w:val="18"/>
              </w:rPr>
              <w:t>−1.88</w:t>
            </w:r>
          </w:p>
        </w:tc>
        <w:tc>
          <w:tcPr>
            <w:tcW w:w="0" w:type="auto"/>
          </w:tcPr>
          <w:p w14:paraId="5719FAC3" w14:textId="77777777" w:rsidR="00540C1D" w:rsidRDefault="00000000">
            <w:pPr>
              <w:pStyle w:val="Compact"/>
              <w:spacing w:after="0"/>
            </w:pPr>
            <w:r>
              <w:rPr>
                <w:sz w:val="18"/>
              </w:rPr>
              <w:t>−2.34</w:t>
            </w:r>
          </w:p>
        </w:tc>
      </w:tr>
      <w:tr w:rsidR="00540C1D" w14:paraId="260DD86D" w14:textId="77777777" w:rsidTr="00FA3D3D">
        <w:trPr>
          <w:jc w:val="center"/>
        </w:trPr>
        <w:tc>
          <w:tcPr>
            <w:tcW w:w="0" w:type="auto"/>
          </w:tcPr>
          <w:p w14:paraId="510CA21F" w14:textId="77777777" w:rsidR="00540C1D" w:rsidRDefault="00000000">
            <w:pPr>
              <w:pStyle w:val="Compact"/>
              <w:spacing w:after="0"/>
            </w:pPr>
            <w:r>
              <w:rPr>
                <w:sz w:val="18"/>
              </w:rPr>
              <w:t>Urban welfare</w:t>
            </w:r>
          </w:p>
        </w:tc>
        <w:tc>
          <w:tcPr>
            <w:tcW w:w="0" w:type="auto"/>
          </w:tcPr>
          <w:p w14:paraId="6CB45C3F" w14:textId="77777777" w:rsidR="00540C1D" w:rsidRDefault="00000000">
            <w:pPr>
              <w:pStyle w:val="Compact"/>
              <w:spacing w:after="0"/>
            </w:pPr>
            <w:r>
              <w:rPr>
                <w:sz w:val="18"/>
              </w:rPr>
              <w:t>−0.86</w:t>
            </w:r>
          </w:p>
        </w:tc>
        <w:tc>
          <w:tcPr>
            <w:tcW w:w="0" w:type="auto"/>
          </w:tcPr>
          <w:p w14:paraId="5E43C6AF" w14:textId="77777777" w:rsidR="00540C1D" w:rsidRDefault="00000000">
            <w:pPr>
              <w:pStyle w:val="Compact"/>
              <w:spacing w:after="0"/>
            </w:pPr>
            <w:r>
              <w:rPr>
                <w:sz w:val="18"/>
              </w:rPr>
              <w:t>−1.06</w:t>
            </w:r>
          </w:p>
        </w:tc>
        <w:tc>
          <w:tcPr>
            <w:tcW w:w="0" w:type="auto"/>
          </w:tcPr>
          <w:p w14:paraId="692A13B2" w14:textId="77777777" w:rsidR="00540C1D" w:rsidRDefault="00000000">
            <w:pPr>
              <w:pStyle w:val="Compact"/>
              <w:spacing w:after="0"/>
            </w:pPr>
            <w:r>
              <w:rPr>
                <w:sz w:val="18"/>
              </w:rPr>
              <w:t>−2.03</w:t>
            </w:r>
          </w:p>
        </w:tc>
        <w:tc>
          <w:tcPr>
            <w:tcW w:w="0" w:type="auto"/>
          </w:tcPr>
          <w:p w14:paraId="0E4271A1" w14:textId="77777777" w:rsidR="00540C1D" w:rsidRDefault="00000000">
            <w:pPr>
              <w:pStyle w:val="Compact"/>
              <w:spacing w:after="0"/>
            </w:pPr>
            <w:r>
              <w:rPr>
                <w:sz w:val="18"/>
              </w:rPr>
              <w:t>−2.50</w:t>
            </w:r>
          </w:p>
        </w:tc>
      </w:tr>
      <w:tr w:rsidR="00540C1D" w14:paraId="125E2EB5" w14:textId="77777777" w:rsidTr="00FA3D3D">
        <w:trPr>
          <w:jc w:val="center"/>
        </w:trPr>
        <w:tc>
          <w:tcPr>
            <w:tcW w:w="0" w:type="auto"/>
          </w:tcPr>
          <w:p w14:paraId="7C348424" w14:textId="77777777" w:rsidR="00540C1D" w:rsidRDefault="00000000">
            <w:pPr>
              <w:pStyle w:val="Compact"/>
              <w:spacing w:after="0"/>
            </w:pPr>
            <w:r>
              <w:rPr>
                <w:sz w:val="18"/>
              </w:rPr>
              <w:t>Rural welfare</w:t>
            </w:r>
          </w:p>
        </w:tc>
        <w:tc>
          <w:tcPr>
            <w:tcW w:w="0" w:type="auto"/>
          </w:tcPr>
          <w:p w14:paraId="05BE6247" w14:textId="77777777" w:rsidR="00540C1D" w:rsidRDefault="00000000">
            <w:pPr>
              <w:pStyle w:val="Compact"/>
              <w:spacing w:after="0"/>
            </w:pPr>
            <w:r>
              <w:rPr>
                <w:sz w:val="18"/>
              </w:rPr>
              <w:t>−0.79</w:t>
            </w:r>
          </w:p>
        </w:tc>
        <w:tc>
          <w:tcPr>
            <w:tcW w:w="0" w:type="auto"/>
          </w:tcPr>
          <w:p w14:paraId="73CCE162" w14:textId="77777777" w:rsidR="00540C1D" w:rsidRDefault="00000000">
            <w:pPr>
              <w:pStyle w:val="Compact"/>
              <w:spacing w:after="0"/>
            </w:pPr>
            <w:r>
              <w:rPr>
                <w:sz w:val="18"/>
              </w:rPr>
              <w:t>−0.98</w:t>
            </w:r>
          </w:p>
        </w:tc>
        <w:tc>
          <w:tcPr>
            <w:tcW w:w="0" w:type="auto"/>
          </w:tcPr>
          <w:p w14:paraId="15EF5129" w14:textId="77777777" w:rsidR="00540C1D" w:rsidRDefault="00000000">
            <w:pPr>
              <w:pStyle w:val="Compact"/>
              <w:spacing w:after="0"/>
            </w:pPr>
            <w:r>
              <w:rPr>
                <w:sz w:val="18"/>
              </w:rPr>
              <w:t>−1.86</w:t>
            </w:r>
          </w:p>
        </w:tc>
        <w:tc>
          <w:tcPr>
            <w:tcW w:w="0" w:type="auto"/>
          </w:tcPr>
          <w:p w14:paraId="19093C62" w14:textId="77777777" w:rsidR="00540C1D" w:rsidRDefault="00000000">
            <w:pPr>
              <w:pStyle w:val="Compact"/>
              <w:spacing w:after="0"/>
            </w:pPr>
            <w:r>
              <w:rPr>
                <w:sz w:val="18"/>
              </w:rPr>
              <w:t>−2.31</w:t>
            </w:r>
          </w:p>
        </w:tc>
      </w:tr>
    </w:tbl>
    <w:p w14:paraId="2AAAD436" w14:textId="0E81F3F5" w:rsidR="00230789" w:rsidRDefault="00230789" w:rsidP="00FA3D3D">
      <w:pPr>
        <w:pStyle w:val="BodyText"/>
        <w:spacing w:after="120" w:line="360" w:lineRule="auto"/>
        <w:jc w:val="both"/>
      </w:pPr>
      <w:r w:rsidRPr="00230789">
        <w:t xml:space="preserve">Households lose equally and the urban households lose slightly more. Households in cities are less dependent on wages and on Services capital, which decline the most. Remittances enhance rural households' protection to losses due to currency depreciation and agricultural incomes provide another cushion. </w:t>
      </w:r>
    </w:p>
    <w:p w14:paraId="27153620" w14:textId="5114EBE7" w:rsidR="00540C1D" w:rsidRDefault="00230789" w:rsidP="00FA3D3D">
      <w:pPr>
        <w:pStyle w:val="BodyText"/>
        <w:spacing w:after="120" w:line="360" w:lineRule="auto"/>
        <w:jc w:val="both"/>
      </w:pPr>
      <w:r w:rsidRPr="00230789">
        <w:t>Under UNEMP welfare losses are 20-25% higher than under FULL due to the additional shock of job reductions. The peak shock is between 2.3–2.5%, making it within the estimated range for South Asia by Kiel Institute (2026) of 1.8–3.5%.</w:t>
      </w:r>
    </w:p>
    <w:p w14:paraId="73CA35F9" w14:textId="77777777" w:rsidR="00540C1D" w:rsidRDefault="00000000">
      <w:pPr>
        <w:pStyle w:val="Heading2"/>
        <w:spacing w:after="120"/>
      </w:pPr>
      <w:bookmarkStart w:id="34" w:name="fiscal-effects"/>
      <w:bookmarkEnd w:id="33"/>
      <w:r>
        <w:lastRenderedPageBreak/>
        <w:t>7.4 Fiscal effects</w:t>
      </w:r>
    </w:p>
    <w:p w14:paraId="5F679134" w14:textId="77777777" w:rsidR="00230789" w:rsidRDefault="00230789" w:rsidP="00FA3D3D">
      <w:pPr>
        <w:pStyle w:val="Heading1"/>
        <w:spacing w:after="120" w:line="360" w:lineRule="auto"/>
        <w:jc w:val="both"/>
        <w:rPr>
          <w:rFonts w:ascii="Times New Roman" w:eastAsia="Times New Roman" w:hAnsi="Times New Roman" w:cs="Times New Roman"/>
          <w:b w:val="0"/>
          <w:bCs w:val="0"/>
          <w:color w:val="auto"/>
          <w:sz w:val="22"/>
          <w:szCs w:val="24"/>
        </w:rPr>
      </w:pPr>
      <w:bookmarkStart w:id="35" w:name="sensitivity-analysis"/>
      <w:bookmarkEnd w:id="30"/>
      <w:bookmarkEnd w:id="34"/>
      <w:r w:rsidRPr="00230789">
        <w:rPr>
          <w:rFonts w:ascii="Times New Roman" w:eastAsia="Times New Roman" w:hAnsi="Times New Roman" w:cs="Times New Roman"/>
          <w:b w:val="0"/>
          <w:bCs w:val="0"/>
          <w:color w:val="auto"/>
          <w:sz w:val="22"/>
          <w:szCs w:val="24"/>
        </w:rPr>
        <w:t>The size of the government deficit just increases a little, around 3% at the shock height. Sum of tax revenue lost due to lower output/income is more than compensated by export revenue. This outcome is in the absence of Government subsidy to fuel. If a fuel subsidy, as applied in March 2026, were used, it would shift a lot of brunt onto the budget.</w:t>
      </w:r>
    </w:p>
    <w:p w14:paraId="32B8EC24" w14:textId="176A2DB1" w:rsidR="00540C1D" w:rsidRDefault="00000000">
      <w:pPr>
        <w:pStyle w:val="Heading1"/>
        <w:spacing w:after="120"/>
      </w:pPr>
      <w:r>
        <w:t>8. Sensitivity analysis</w:t>
      </w:r>
    </w:p>
    <w:p w14:paraId="1E9A6517" w14:textId="77777777" w:rsidR="00230789" w:rsidRDefault="00230789" w:rsidP="00FA3D3D">
      <w:pPr>
        <w:pStyle w:val="BodyText"/>
        <w:spacing w:after="120" w:line="360" w:lineRule="auto"/>
        <w:jc w:val="both"/>
      </w:pPr>
      <w:r w:rsidRPr="00230789">
        <w:t>Seven parameter-settings are tested with the central case (B71 shock, UNEMP closure). In each of the cases the model is retuned, and before adding or removing the shock the model reproduces the benchmark exactly up to 0.000000% deviation. All slacks achieved under Walras's index &lt; 1e-</w:t>
      </w:r>
      <w:proofErr w:type="gramStart"/>
      <w:r w:rsidRPr="00230789">
        <w:t>6.All</w:t>
      </w:r>
      <w:proofErr w:type="gramEnd"/>
      <w:r w:rsidRPr="00230789">
        <w:t xml:space="preserve"> slacks achieved under Walras's index below 1e-6.</w:t>
      </w:r>
    </w:p>
    <w:p w14:paraId="0F6FA937" w14:textId="0B60E0BD" w:rsidR="00540C1D" w:rsidRDefault="00000000">
      <w:pPr>
        <w:pStyle w:val="BodyText"/>
        <w:spacing w:after="120"/>
      </w:pPr>
      <w:r>
        <w:rPr>
          <w:b/>
          <w:bCs/>
        </w:rPr>
        <w:t>Table 12. Sensitivity of B71 UNEMP results (% change from base)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464"/>
        <w:gridCol w:w="773"/>
        <w:gridCol w:w="1005"/>
        <w:gridCol w:w="771"/>
        <w:gridCol w:w="875"/>
        <w:gridCol w:w="959"/>
        <w:gridCol w:w="888"/>
        <w:gridCol w:w="915"/>
        <w:gridCol w:w="974"/>
        <w:gridCol w:w="952"/>
      </w:tblGrid>
      <w:tr w:rsidR="00540C1D" w14:paraId="0AE94EE6" w14:textId="77777777" w:rsidTr="00540C1D">
        <w:trPr>
          <w:cnfStyle w:val="100000000000" w:firstRow="1" w:lastRow="0" w:firstColumn="0" w:lastColumn="0" w:oddVBand="0" w:evenVBand="0" w:oddHBand="0" w:evenHBand="0" w:firstRowFirstColumn="0" w:firstRowLastColumn="0" w:lastRowFirstColumn="0" w:lastRowLastColumn="0"/>
          <w:tblHeader/>
        </w:trPr>
        <w:tc>
          <w:tcPr>
            <w:tcW w:w="0" w:type="auto"/>
          </w:tcPr>
          <w:p w14:paraId="49BB637E" w14:textId="77777777" w:rsidR="00540C1D" w:rsidRDefault="00000000">
            <w:pPr>
              <w:pStyle w:val="Compact"/>
              <w:spacing w:after="0"/>
            </w:pPr>
            <w:r>
              <w:rPr>
                <w:sz w:val="18"/>
              </w:rPr>
              <w:t>Case</w:t>
            </w:r>
          </w:p>
        </w:tc>
        <w:tc>
          <w:tcPr>
            <w:tcW w:w="0" w:type="auto"/>
          </w:tcPr>
          <w:p w14:paraId="34E4C1AD" w14:textId="77777777" w:rsidR="00540C1D" w:rsidRDefault="00000000">
            <w:pPr>
              <w:pStyle w:val="Compact"/>
              <w:spacing w:after="0"/>
            </w:pPr>
            <w:r>
              <w:rPr>
                <w:sz w:val="18"/>
              </w:rPr>
              <w:t>Real GDP</w:t>
            </w:r>
          </w:p>
        </w:tc>
        <w:tc>
          <w:tcPr>
            <w:tcW w:w="0" w:type="auto"/>
          </w:tcPr>
          <w:p w14:paraId="46E6C8B6" w14:textId="77777777" w:rsidR="00540C1D" w:rsidRDefault="00000000">
            <w:pPr>
              <w:pStyle w:val="Compact"/>
              <w:spacing w:after="0"/>
            </w:pPr>
            <w:r>
              <w:rPr>
                <w:sz w:val="18"/>
              </w:rPr>
              <w:t>Employ-ment</w:t>
            </w:r>
          </w:p>
        </w:tc>
        <w:tc>
          <w:tcPr>
            <w:tcW w:w="0" w:type="auto"/>
          </w:tcPr>
          <w:p w14:paraId="1EAED72B" w14:textId="77777777" w:rsidR="00540C1D" w:rsidRDefault="00000000">
            <w:pPr>
              <w:pStyle w:val="Compact"/>
              <w:spacing w:after="0"/>
            </w:pPr>
            <w:r>
              <w:rPr>
                <w:sz w:val="18"/>
              </w:rPr>
              <w:t>Exch. rate</w:t>
            </w:r>
          </w:p>
        </w:tc>
        <w:tc>
          <w:tcPr>
            <w:tcW w:w="0" w:type="auto"/>
          </w:tcPr>
          <w:p w14:paraId="3481596C" w14:textId="77777777" w:rsidR="00540C1D" w:rsidRDefault="00000000">
            <w:pPr>
              <w:pStyle w:val="Compact"/>
              <w:spacing w:after="0"/>
            </w:pPr>
            <w:r>
              <w:rPr>
                <w:sz w:val="18"/>
              </w:rPr>
              <w:t>Invest-ment</w:t>
            </w:r>
          </w:p>
        </w:tc>
        <w:tc>
          <w:tcPr>
            <w:tcW w:w="0" w:type="auto"/>
          </w:tcPr>
          <w:p w14:paraId="6150650A" w14:textId="77777777" w:rsidR="00540C1D" w:rsidRDefault="00000000">
            <w:pPr>
              <w:pStyle w:val="Compact"/>
              <w:spacing w:after="0"/>
            </w:pPr>
            <w:r>
              <w:rPr>
                <w:sz w:val="18"/>
              </w:rPr>
              <w:t>Energy output</w:t>
            </w:r>
          </w:p>
        </w:tc>
        <w:tc>
          <w:tcPr>
            <w:tcW w:w="0" w:type="auto"/>
          </w:tcPr>
          <w:p w14:paraId="6441248C" w14:textId="77777777" w:rsidR="00540C1D" w:rsidRDefault="00000000">
            <w:pPr>
              <w:pStyle w:val="Compact"/>
              <w:spacing w:after="0"/>
            </w:pPr>
            <w:r>
              <w:rPr>
                <w:sz w:val="18"/>
              </w:rPr>
              <w:t>Energy jobs</w:t>
            </w:r>
          </w:p>
        </w:tc>
        <w:tc>
          <w:tcPr>
            <w:tcW w:w="0" w:type="auto"/>
          </w:tcPr>
          <w:p w14:paraId="3223E8A0" w14:textId="77777777" w:rsidR="00540C1D" w:rsidRDefault="00000000">
            <w:pPr>
              <w:pStyle w:val="Compact"/>
              <w:spacing w:after="0"/>
            </w:pPr>
            <w:r>
              <w:rPr>
                <w:sz w:val="18"/>
              </w:rPr>
              <w:t>Energy price</w:t>
            </w:r>
          </w:p>
        </w:tc>
        <w:tc>
          <w:tcPr>
            <w:tcW w:w="0" w:type="auto"/>
          </w:tcPr>
          <w:p w14:paraId="26A00CD5" w14:textId="77777777" w:rsidR="00540C1D" w:rsidRDefault="00000000">
            <w:pPr>
              <w:pStyle w:val="Compact"/>
              <w:spacing w:after="0"/>
            </w:pPr>
            <w:r>
              <w:rPr>
                <w:sz w:val="18"/>
              </w:rPr>
              <w:t>Urban welfare</w:t>
            </w:r>
          </w:p>
        </w:tc>
        <w:tc>
          <w:tcPr>
            <w:tcW w:w="0" w:type="auto"/>
          </w:tcPr>
          <w:p w14:paraId="6518FE86" w14:textId="77777777" w:rsidR="00540C1D" w:rsidRDefault="00000000">
            <w:pPr>
              <w:pStyle w:val="Compact"/>
              <w:spacing w:after="0"/>
            </w:pPr>
            <w:r>
              <w:rPr>
                <w:sz w:val="18"/>
              </w:rPr>
              <w:t>Rural welfare</w:t>
            </w:r>
          </w:p>
        </w:tc>
      </w:tr>
      <w:tr w:rsidR="00540C1D" w14:paraId="70381303" w14:textId="77777777">
        <w:tc>
          <w:tcPr>
            <w:tcW w:w="0" w:type="auto"/>
          </w:tcPr>
          <w:p w14:paraId="33847677" w14:textId="77777777" w:rsidR="00540C1D" w:rsidRDefault="00000000">
            <w:pPr>
              <w:pStyle w:val="Compact"/>
              <w:spacing w:after="0"/>
            </w:pPr>
            <w:r>
              <w:rPr>
                <w:sz w:val="18"/>
              </w:rPr>
              <w:t>Central</w:t>
            </w:r>
          </w:p>
        </w:tc>
        <w:tc>
          <w:tcPr>
            <w:tcW w:w="0" w:type="auto"/>
          </w:tcPr>
          <w:p w14:paraId="7BC193CF" w14:textId="77777777" w:rsidR="00540C1D" w:rsidRDefault="00000000">
            <w:pPr>
              <w:pStyle w:val="Compact"/>
              <w:spacing w:after="0"/>
            </w:pPr>
            <w:r>
              <w:rPr>
                <w:sz w:val="18"/>
              </w:rPr>
              <w:t>−0.54</w:t>
            </w:r>
          </w:p>
        </w:tc>
        <w:tc>
          <w:tcPr>
            <w:tcW w:w="0" w:type="auto"/>
          </w:tcPr>
          <w:p w14:paraId="4C507192" w14:textId="77777777" w:rsidR="00540C1D" w:rsidRDefault="00000000">
            <w:pPr>
              <w:pStyle w:val="Compact"/>
              <w:spacing w:after="0"/>
            </w:pPr>
            <w:r>
              <w:rPr>
                <w:sz w:val="18"/>
              </w:rPr>
              <w:t>−1.92</w:t>
            </w:r>
          </w:p>
        </w:tc>
        <w:tc>
          <w:tcPr>
            <w:tcW w:w="0" w:type="auto"/>
          </w:tcPr>
          <w:p w14:paraId="4521D42B" w14:textId="77777777" w:rsidR="00540C1D" w:rsidRDefault="00000000">
            <w:pPr>
              <w:pStyle w:val="Compact"/>
              <w:spacing w:after="0"/>
            </w:pPr>
            <w:r>
              <w:rPr>
                <w:sz w:val="18"/>
              </w:rPr>
              <w:t>+5.03</w:t>
            </w:r>
          </w:p>
        </w:tc>
        <w:tc>
          <w:tcPr>
            <w:tcW w:w="0" w:type="auto"/>
          </w:tcPr>
          <w:p w14:paraId="3DD53F33" w14:textId="77777777" w:rsidR="00540C1D" w:rsidRDefault="00000000">
            <w:pPr>
              <w:pStyle w:val="Compact"/>
              <w:spacing w:after="0"/>
            </w:pPr>
            <w:r>
              <w:rPr>
                <w:sz w:val="18"/>
              </w:rPr>
              <w:t>−3.03</w:t>
            </w:r>
          </w:p>
        </w:tc>
        <w:tc>
          <w:tcPr>
            <w:tcW w:w="0" w:type="auto"/>
          </w:tcPr>
          <w:p w14:paraId="38E66F9A" w14:textId="77777777" w:rsidR="00540C1D" w:rsidRDefault="00000000">
            <w:pPr>
              <w:pStyle w:val="Compact"/>
              <w:spacing w:after="0"/>
            </w:pPr>
            <w:r>
              <w:rPr>
                <w:sz w:val="18"/>
              </w:rPr>
              <w:t>−1.49</w:t>
            </w:r>
          </w:p>
        </w:tc>
        <w:tc>
          <w:tcPr>
            <w:tcW w:w="0" w:type="auto"/>
          </w:tcPr>
          <w:p w14:paraId="7B544C3F" w14:textId="77777777" w:rsidR="00540C1D" w:rsidRDefault="00000000">
            <w:pPr>
              <w:pStyle w:val="Compact"/>
              <w:spacing w:after="0"/>
            </w:pPr>
            <w:r>
              <w:rPr>
                <w:sz w:val="18"/>
              </w:rPr>
              <w:t>−26.3</w:t>
            </w:r>
          </w:p>
        </w:tc>
        <w:tc>
          <w:tcPr>
            <w:tcW w:w="0" w:type="auto"/>
          </w:tcPr>
          <w:p w14:paraId="6BFDFCE7" w14:textId="77777777" w:rsidR="00540C1D" w:rsidRDefault="00000000">
            <w:pPr>
              <w:pStyle w:val="Compact"/>
              <w:spacing w:after="0"/>
            </w:pPr>
            <w:r>
              <w:rPr>
                <w:sz w:val="18"/>
              </w:rPr>
              <w:t>+10.3</w:t>
            </w:r>
          </w:p>
        </w:tc>
        <w:tc>
          <w:tcPr>
            <w:tcW w:w="0" w:type="auto"/>
          </w:tcPr>
          <w:p w14:paraId="09DC190A" w14:textId="77777777" w:rsidR="00540C1D" w:rsidRDefault="00000000">
            <w:pPr>
              <w:pStyle w:val="Compact"/>
              <w:spacing w:after="0"/>
            </w:pPr>
            <w:r>
              <w:rPr>
                <w:sz w:val="18"/>
              </w:rPr>
              <w:t>−2.50</w:t>
            </w:r>
          </w:p>
        </w:tc>
        <w:tc>
          <w:tcPr>
            <w:tcW w:w="0" w:type="auto"/>
          </w:tcPr>
          <w:p w14:paraId="5BB9567E" w14:textId="77777777" w:rsidR="00540C1D" w:rsidRDefault="00000000">
            <w:pPr>
              <w:pStyle w:val="Compact"/>
              <w:spacing w:after="0"/>
            </w:pPr>
            <w:r>
              <w:rPr>
                <w:sz w:val="18"/>
              </w:rPr>
              <w:t>−2.31</w:t>
            </w:r>
          </w:p>
        </w:tc>
      </w:tr>
      <w:tr w:rsidR="00540C1D" w14:paraId="083262F7" w14:textId="77777777">
        <w:tc>
          <w:tcPr>
            <w:tcW w:w="0" w:type="auto"/>
          </w:tcPr>
          <w:p w14:paraId="323E41DE" w14:textId="77777777" w:rsidR="00540C1D" w:rsidRDefault="00000000">
            <w:pPr>
              <w:pStyle w:val="Compact"/>
              <w:spacing w:after="0"/>
            </w:pPr>
            <w:r>
              <w:rPr>
                <w:sz w:val="18"/>
              </w:rPr>
              <w:t>Armington ×0.5</w:t>
            </w:r>
          </w:p>
        </w:tc>
        <w:tc>
          <w:tcPr>
            <w:tcW w:w="0" w:type="auto"/>
          </w:tcPr>
          <w:p w14:paraId="1971AB28" w14:textId="77777777" w:rsidR="00540C1D" w:rsidRDefault="00000000">
            <w:pPr>
              <w:pStyle w:val="Compact"/>
              <w:spacing w:after="0"/>
            </w:pPr>
            <w:r>
              <w:rPr>
                <w:sz w:val="18"/>
              </w:rPr>
              <w:t>−0.54</w:t>
            </w:r>
          </w:p>
        </w:tc>
        <w:tc>
          <w:tcPr>
            <w:tcW w:w="0" w:type="auto"/>
          </w:tcPr>
          <w:p w14:paraId="38BFD847" w14:textId="77777777" w:rsidR="00540C1D" w:rsidRDefault="00000000">
            <w:pPr>
              <w:pStyle w:val="Compact"/>
              <w:spacing w:after="0"/>
            </w:pPr>
            <w:r>
              <w:rPr>
                <w:sz w:val="18"/>
              </w:rPr>
              <w:t>−1.90</w:t>
            </w:r>
          </w:p>
        </w:tc>
        <w:tc>
          <w:tcPr>
            <w:tcW w:w="0" w:type="auto"/>
          </w:tcPr>
          <w:p w14:paraId="32D8DEDB" w14:textId="77777777" w:rsidR="00540C1D" w:rsidRDefault="00000000">
            <w:pPr>
              <w:pStyle w:val="Compact"/>
              <w:spacing w:after="0"/>
            </w:pPr>
            <w:r>
              <w:rPr>
                <w:sz w:val="18"/>
              </w:rPr>
              <w:t>+7.69</w:t>
            </w:r>
          </w:p>
        </w:tc>
        <w:tc>
          <w:tcPr>
            <w:tcW w:w="0" w:type="auto"/>
          </w:tcPr>
          <w:p w14:paraId="44EA40D7" w14:textId="77777777" w:rsidR="00540C1D" w:rsidRDefault="00000000">
            <w:pPr>
              <w:pStyle w:val="Compact"/>
              <w:spacing w:after="0"/>
            </w:pPr>
            <w:r>
              <w:rPr>
                <w:sz w:val="18"/>
              </w:rPr>
              <w:t>−3.02</w:t>
            </w:r>
          </w:p>
        </w:tc>
        <w:tc>
          <w:tcPr>
            <w:tcW w:w="0" w:type="auto"/>
          </w:tcPr>
          <w:p w14:paraId="69C6444E" w14:textId="77777777" w:rsidR="00540C1D" w:rsidRDefault="00000000">
            <w:pPr>
              <w:pStyle w:val="Compact"/>
              <w:spacing w:after="0"/>
            </w:pPr>
            <w:r>
              <w:rPr>
                <w:sz w:val="18"/>
              </w:rPr>
              <w:t>−1.96</w:t>
            </w:r>
          </w:p>
        </w:tc>
        <w:tc>
          <w:tcPr>
            <w:tcW w:w="0" w:type="auto"/>
          </w:tcPr>
          <w:p w14:paraId="76375A1F" w14:textId="77777777" w:rsidR="00540C1D" w:rsidRDefault="00000000">
            <w:pPr>
              <w:pStyle w:val="Compact"/>
              <w:spacing w:after="0"/>
            </w:pPr>
            <w:r>
              <w:rPr>
                <w:sz w:val="18"/>
              </w:rPr>
              <w:t>−33.1</w:t>
            </w:r>
          </w:p>
        </w:tc>
        <w:tc>
          <w:tcPr>
            <w:tcW w:w="0" w:type="auto"/>
          </w:tcPr>
          <w:p w14:paraId="448945C8" w14:textId="77777777" w:rsidR="00540C1D" w:rsidRDefault="00000000">
            <w:pPr>
              <w:pStyle w:val="Compact"/>
              <w:spacing w:after="0"/>
            </w:pPr>
            <w:r>
              <w:rPr>
                <w:sz w:val="18"/>
              </w:rPr>
              <w:t>+8.4</w:t>
            </w:r>
          </w:p>
        </w:tc>
        <w:tc>
          <w:tcPr>
            <w:tcW w:w="0" w:type="auto"/>
          </w:tcPr>
          <w:p w14:paraId="6146E07F" w14:textId="77777777" w:rsidR="00540C1D" w:rsidRDefault="00000000">
            <w:pPr>
              <w:pStyle w:val="Compact"/>
              <w:spacing w:after="0"/>
            </w:pPr>
            <w:r>
              <w:rPr>
                <w:sz w:val="18"/>
              </w:rPr>
              <w:t>−2.59</w:t>
            </w:r>
          </w:p>
        </w:tc>
        <w:tc>
          <w:tcPr>
            <w:tcW w:w="0" w:type="auto"/>
          </w:tcPr>
          <w:p w14:paraId="771F55FB" w14:textId="77777777" w:rsidR="00540C1D" w:rsidRDefault="00000000">
            <w:pPr>
              <w:pStyle w:val="Compact"/>
              <w:spacing w:after="0"/>
            </w:pPr>
            <w:r>
              <w:rPr>
                <w:sz w:val="18"/>
              </w:rPr>
              <w:t>−2.33</w:t>
            </w:r>
          </w:p>
        </w:tc>
      </w:tr>
      <w:tr w:rsidR="00540C1D" w14:paraId="3A159AC3" w14:textId="77777777">
        <w:tc>
          <w:tcPr>
            <w:tcW w:w="0" w:type="auto"/>
          </w:tcPr>
          <w:p w14:paraId="100B5D0C" w14:textId="77777777" w:rsidR="00540C1D" w:rsidRDefault="00000000">
            <w:pPr>
              <w:pStyle w:val="Compact"/>
              <w:spacing w:after="0"/>
            </w:pPr>
            <w:r>
              <w:rPr>
                <w:sz w:val="18"/>
              </w:rPr>
              <w:t>Armington ×2</w:t>
            </w:r>
          </w:p>
        </w:tc>
        <w:tc>
          <w:tcPr>
            <w:tcW w:w="0" w:type="auto"/>
          </w:tcPr>
          <w:p w14:paraId="1EFD5B7F" w14:textId="77777777" w:rsidR="00540C1D" w:rsidRDefault="00000000">
            <w:pPr>
              <w:pStyle w:val="Compact"/>
              <w:spacing w:after="0"/>
            </w:pPr>
            <w:r>
              <w:rPr>
                <w:sz w:val="18"/>
              </w:rPr>
              <w:t>−0.61</w:t>
            </w:r>
          </w:p>
        </w:tc>
        <w:tc>
          <w:tcPr>
            <w:tcW w:w="0" w:type="auto"/>
          </w:tcPr>
          <w:p w14:paraId="78ABCB35" w14:textId="77777777" w:rsidR="00540C1D" w:rsidRDefault="00000000">
            <w:pPr>
              <w:pStyle w:val="Compact"/>
              <w:spacing w:after="0"/>
            </w:pPr>
            <w:r>
              <w:rPr>
                <w:sz w:val="18"/>
              </w:rPr>
              <w:t>−2.19</w:t>
            </w:r>
          </w:p>
        </w:tc>
        <w:tc>
          <w:tcPr>
            <w:tcW w:w="0" w:type="auto"/>
          </w:tcPr>
          <w:p w14:paraId="719FB9AB" w14:textId="77777777" w:rsidR="00540C1D" w:rsidRDefault="00000000">
            <w:pPr>
              <w:pStyle w:val="Compact"/>
              <w:spacing w:after="0"/>
            </w:pPr>
            <w:r>
              <w:rPr>
                <w:sz w:val="18"/>
              </w:rPr>
              <w:t>+2.68</w:t>
            </w:r>
          </w:p>
        </w:tc>
        <w:tc>
          <w:tcPr>
            <w:tcW w:w="0" w:type="auto"/>
          </w:tcPr>
          <w:p w14:paraId="17A2DA6C" w14:textId="77777777" w:rsidR="00540C1D" w:rsidRDefault="00000000">
            <w:pPr>
              <w:pStyle w:val="Compact"/>
              <w:spacing w:after="0"/>
            </w:pPr>
            <w:r>
              <w:rPr>
                <w:sz w:val="18"/>
              </w:rPr>
              <w:t>−3.03</w:t>
            </w:r>
          </w:p>
        </w:tc>
        <w:tc>
          <w:tcPr>
            <w:tcW w:w="0" w:type="auto"/>
          </w:tcPr>
          <w:p w14:paraId="5DA21A1A" w14:textId="77777777" w:rsidR="00540C1D" w:rsidRDefault="00000000">
            <w:pPr>
              <w:pStyle w:val="Compact"/>
              <w:spacing w:after="0"/>
            </w:pPr>
            <w:r>
              <w:rPr>
                <w:sz w:val="18"/>
              </w:rPr>
              <w:t>−0.89</w:t>
            </w:r>
          </w:p>
        </w:tc>
        <w:tc>
          <w:tcPr>
            <w:tcW w:w="0" w:type="auto"/>
          </w:tcPr>
          <w:p w14:paraId="2ED0527B" w14:textId="77777777" w:rsidR="00540C1D" w:rsidRDefault="00000000">
            <w:pPr>
              <w:pStyle w:val="Compact"/>
              <w:spacing w:after="0"/>
            </w:pPr>
            <w:r>
              <w:rPr>
                <w:sz w:val="18"/>
              </w:rPr>
              <w:t>−16.6</w:t>
            </w:r>
          </w:p>
        </w:tc>
        <w:tc>
          <w:tcPr>
            <w:tcW w:w="0" w:type="auto"/>
          </w:tcPr>
          <w:p w14:paraId="08F8F5E7" w14:textId="77777777" w:rsidR="00540C1D" w:rsidRDefault="00000000">
            <w:pPr>
              <w:pStyle w:val="Compact"/>
              <w:spacing w:after="0"/>
            </w:pPr>
            <w:r>
              <w:rPr>
                <w:sz w:val="18"/>
              </w:rPr>
              <w:t>+13.6</w:t>
            </w:r>
          </w:p>
        </w:tc>
        <w:tc>
          <w:tcPr>
            <w:tcW w:w="0" w:type="auto"/>
          </w:tcPr>
          <w:p w14:paraId="51FE61C1" w14:textId="77777777" w:rsidR="00540C1D" w:rsidRDefault="00000000">
            <w:pPr>
              <w:pStyle w:val="Compact"/>
              <w:spacing w:after="0"/>
            </w:pPr>
            <w:r>
              <w:rPr>
                <w:sz w:val="18"/>
              </w:rPr>
              <w:t>−2.49</w:t>
            </w:r>
          </w:p>
        </w:tc>
        <w:tc>
          <w:tcPr>
            <w:tcW w:w="0" w:type="auto"/>
          </w:tcPr>
          <w:p w14:paraId="26F903DA" w14:textId="77777777" w:rsidR="00540C1D" w:rsidRDefault="00000000">
            <w:pPr>
              <w:pStyle w:val="Compact"/>
              <w:spacing w:after="0"/>
            </w:pPr>
            <w:r>
              <w:rPr>
                <w:sz w:val="18"/>
              </w:rPr>
              <w:t>−2.36</w:t>
            </w:r>
          </w:p>
        </w:tc>
      </w:tr>
      <w:tr w:rsidR="00540C1D" w14:paraId="12462577" w14:textId="77777777">
        <w:tc>
          <w:tcPr>
            <w:tcW w:w="0" w:type="auto"/>
          </w:tcPr>
          <w:p w14:paraId="69DEF923" w14:textId="77777777" w:rsidR="00540C1D" w:rsidRDefault="00000000">
            <w:pPr>
              <w:pStyle w:val="Compact"/>
              <w:spacing w:after="0"/>
            </w:pPr>
            <w:r>
              <w:rPr>
                <w:sz w:val="18"/>
              </w:rPr>
              <w:t>Energy Armington 0.56</w:t>
            </w:r>
          </w:p>
        </w:tc>
        <w:tc>
          <w:tcPr>
            <w:tcW w:w="0" w:type="auto"/>
          </w:tcPr>
          <w:p w14:paraId="2A08ACCD" w14:textId="77777777" w:rsidR="00540C1D" w:rsidRDefault="00000000">
            <w:pPr>
              <w:pStyle w:val="Compact"/>
              <w:spacing w:after="0"/>
            </w:pPr>
            <w:r>
              <w:rPr>
                <w:sz w:val="18"/>
              </w:rPr>
              <w:t>−0.98</w:t>
            </w:r>
          </w:p>
        </w:tc>
        <w:tc>
          <w:tcPr>
            <w:tcW w:w="0" w:type="auto"/>
          </w:tcPr>
          <w:p w14:paraId="29D9FC55" w14:textId="77777777" w:rsidR="00540C1D" w:rsidRDefault="00000000">
            <w:pPr>
              <w:pStyle w:val="Compact"/>
              <w:spacing w:after="0"/>
            </w:pPr>
            <w:r>
              <w:rPr>
                <w:sz w:val="18"/>
              </w:rPr>
              <w:t>−3.51</w:t>
            </w:r>
          </w:p>
        </w:tc>
        <w:tc>
          <w:tcPr>
            <w:tcW w:w="0" w:type="auto"/>
          </w:tcPr>
          <w:p w14:paraId="2AB203C6" w14:textId="77777777" w:rsidR="00540C1D" w:rsidRDefault="00000000">
            <w:pPr>
              <w:pStyle w:val="Compact"/>
              <w:spacing w:after="0"/>
            </w:pPr>
            <w:r>
              <w:rPr>
                <w:sz w:val="18"/>
              </w:rPr>
              <w:t>+2.36</w:t>
            </w:r>
          </w:p>
        </w:tc>
        <w:tc>
          <w:tcPr>
            <w:tcW w:w="0" w:type="auto"/>
          </w:tcPr>
          <w:p w14:paraId="0A4793EE" w14:textId="77777777" w:rsidR="00540C1D" w:rsidRDefault="00000000">
            <w:pPr>
              <w:pStyle w:val="Compact"/>
              <w:spacing w:after="0"/>
            </w:pPr>
            <w:r>
              <w:rPr>
                <w:sz w:val="18"/>
              </w:rPr>
              <w:t>−2.94</w:t>
            </w:r>
          </w:p>
        </w:tc>
        <w:tc>
          <w:tcPr>
            <w:tcW w:w="0" w:type="auto"/>
          </w:tcPr>
          <w:p w14:paraId="7702D27F" w14:textId="77777777" w:rsidR="00540C1D" w:rsidRDefault="00000000">
            <w:pPr>
              <w:pStyle w:val="Compact"/>
              <w:spacing w:after="0"/>
            </w:pPr>
            <w:r>
              <w:rPr>
                <w:sz w:val="18"/>
              </w:rPr>
              <w:t>+0.24</w:t>
            </w:r>
          </w:p>
        </w:tc>
        <w:tc>
          <w:tcPr>
            <w:tcW w:w="0" w:type="auto"/>
          </w:tcPr>
          <w:p w14:paraId="42524574" w14:textId="77777777" w:rsidR="00540C1D" w:rsidRDefault="00000000">
            <w:pPr>
              <w:pStyle w:val="Compact"/>
              <w:spacing w:after="0"/>
            </w:pPr>
            <w:r>
              <w:rPr>
                <w:sz w:val="18"/>
              </w:rPr>
              <w:t>+5.1</w:t>
            </w:r>
          </w:p>
        </w:tc>
        <w:tc>
          <w:tcPr>
            <w:tcW w:w="0" w:type="auto"/>
          </w:tcPr>
          <w:p w14:paraId="693F3B98" w14:textId="77777777" w:rsidR="00540C1D" w:rsidRDefault="00000000">
            <w:pPr>
              <w:pStyle w:val="Compact"/>
              <w:spacing w:after="0"/>
            </w:pPr>
            <w:r>
              <w:rPr>
                <w:sz w:val="18"/>
              </w:rPr>
              <w:t>+23.4</w:t>
            </w:r>
          </w:p>
        </w:tc>
        <w:tc>
          <w:tcPr>
            <w:tcW w:w="0" w:type="auto"/>
          </w:tcPr>
          <w:p w14:paraId="39DE28DC" w14:textId="77777777" w:rsidR="00540C1D" w:rsidRDefault="00000000">
            <w:pPr>
              <w:pStyle w:val="Compact"/>
              <w:spacing w:after="0"/>
            </w:pPr>
            <w:r>
              <w:rPr>
                <w:sz w:val="18"/>
              </w:rPr>
              <w:t>−2.81</w:t>
            </w:r>
          </w:p>
        </w:tc>
        <w:tc>
          <w:tcPr>
            <w:tcW w:w="0" w:type="auto"/>
          </w:tcPr>
          <w:p w14:paraId="1AD25651" w14:textId="77777777" w:rsidR="00540C1D" w:rsidRDefault="00000000">
            <w:pPr>
              <w:pStyle w:val="Compact"/>
              <w:spacing w:after="0"/>
            </w:pPr>
            <w:r>
              <w:rPr>
                <w:sz w:val="18"/>
              </w:rPr>
              <w:t>−2.66</w:t>
            </w:r>
          </w:p>
        </w:tc>
      </w:tr>
      <w:tr w:rsidR="00540C1D" w14:paraId="33BF00DB" w14:textId="77777777">
        <w:tc>
          <w:tcPr>
            <w:tcW w:w="0" w:type="auto"/>
          </w:tcPr>
          <w:p w14:paraId="2817F703" w14:textId="77777777" w:rsidR="00540C1D" w:rsidRDefault="00000000">
            <w:pPr>
              <w:pStyle w:val="Compact"/>
              <w:spacing w:after="0"/>
            </w:pPr>
            <w:r>
              <w:rPr>
                <w:sz w:val="18"/>
              </w:rPr>
              <w:t>CET ×0.5</w:t>
            </w:r>
          </w:p>
        </w:tc>
        <w:tc>
          <w:tcPr>
            <w:tcW w:w="0" w:type="auto"/>
          </w:tcPr>
          <w:p w14:paraId="3A6BEB15" w14:textId="77777777" w:rsidR="00540C1D" w:rsidRDefault="00000000">
            <w:pPr>
              <w:pStyle w:val="Compact"/>
              <w:spacing w:after="0"/>
            </w:pPr>
            <w:r>
              <w:rPr>
                <w:sz w:val="18"/>
              </w:rPr>
              <w:t>−0.58</w:t>
            </w:r>
          </w:p>
        </w:tc>
        <w:tc>
          <w:tcPr>
            <w:tcW w:w="0" w:type="auto"/>
          </w:tcPr>
          <w:p w14:paraId="592658EC" w14:textId="77777777" w:rsidR="00540C1D" w:rsidRDefault="00000000">
            <w:pPr>
              <w:pStyle w:val="Compact"/>
              <w:spacing w:after="0"/>
            </w:pPr>
            <w:r>
              <w:rPr>
                <w:sz w:val="18"/>
              </w:rPr>
              <w:t>−2.05</w:t>
            </w:r>
          </w:p>
        </w:tc>
        <w:tc>
          <w:tcPr>
            <w:tcW w:w="0" w:type="auto"/>
          </w:tcPr>
          <w:p w14:paraId="2F2E3CD6" w14:textId="77777777" w:rsidR="00540C1D" w:rsidRDefault="00000000">
            <w:pPr>
              <w:pStyle w:val="Compact"/>
              <w:spacing w:after="0"/>
            </w:pPr>
            <w:r>
              <w:rPr>
                <w:sz w:val="18"/>
              </w:rPr>
              <w:t>+6.28</w:t>
            </w:r>
          </w:p>
        </w:tc>
        <w:tc>
          <w:tcPr>
            <w:tcW w:w="0" w:type="auto"/>
          </w:tcPr>
          <w:p w14:paraId="1BE0B530" w14:textId="77777777" w:rsidR="00540C1D" w:rsidRDefault="00000000">
            <w:pPr>
              <w:pStyle w:val="Compact"/>
              <w:spacing w:after="0"/>
            </w:pPr>
            <w:r>
              <w:rPr>
                <w:sz w:val="18"/>
              </w:rPr>
              <w:t>−3.03</w:t>
            </w:r>
          </w:p>
        </w:tc>
        <w:tc>
          <w:tcPr>
            <w:tcW w:w="0" w:type="auto"/>
          </w:tcPr>
          <w:p w14:paraId="1693A4F1" w14:textId="77777777" w:rsidR="00540C1D" w:rsidRDefault="00000000">
            <w:pPr>
              <w:pStyle w:val="Compact"/>
              <w:spacing w:after="0"/>
            </w:pPr>
            <w:r>
              <w:rPr>
                <w:sz w:val="18"/>
              </w:rPr>
              <w:t>−1.54</w:t>
            </w:r>
          </w:p>
        </w:tc>
        <w:tc>
          <w:tcPr>
            <w:tcW w:w="0" w:type="auto"/>
          </w:tcPr>
          <w:p w14:paraId="392B755D" w14:textId="77777777" w:rsidR="00540C1D" w:rsidRDefault="00000000">
            <w:pPr>
              <w:pStyle w:val="Compact"/>
              <w:spacing w:after="0"/>
            </w:pPr>
            <w:r>
              <w:rPr>
                <w:sz w:val="18"/>
              </w:rPr>
              <w:t>−27.1</w:t>
            </w:r>
          </w:p>
        </w:tc>
        <w:tc>
          <w:tcPr>
            <w:tcW w:w="0" w:type="auto"/>
          </w:tcPr>
          <w:p w14:paraId="53423305" w14:textId="77777777" w:rsidR="00540C1D" w:rsidRDefault="00000000">
            <w:pPr>
              <w:pStyle w:val="Compact"/>
              <w:spacing w:after="0"/>
            </w:pPr>
            <w:r>
              <w:rPr>
                <w:sz w:val="18"/>
              </w:rPr>
              <w:t>+10.4</w:t>
            </w:r>
          </w:p>
        </w:tc>
        <w:tc>
          <w:tcPr>
            <w:tcW w:w="0" w:type="auto"/>
          </w:tcPr>
          <w:p w14:paraId="2DAC3689" w14:textId="77777777" w:rsidR="00540C1D" w:rsidRDefault="00000000">
            <w:pPr>
              <w:pStyle w:val="Compact"/>
              <w:spacing w:after="0"/>
            </w:pPr>
            <w:r>
              <w:rPr>
                <w:sz w:val="18"/>
              </w:rPr>
              <w:t>−2.58</w:t>
            </w:r>
          </w:p>
        </w:tc>
        <w:tc>
          <w:tcPr>
            <w:tcW w:w="0" w:type="auto"/>
          </w:tcPr>
          <w:p w14:paraId="42B4F8F1" w14:textId="77777777" w:rsidR="00540C1D" w:rsidRDefault="00000000">
            <w:pPr>
              <w:pStyle w:val="Compact"/>
              <w:spacing w:after="0"/>
            </w:pPr>
            <w:r>
              <w:rPr>
                <w:sz w:val="18"/>
              </w:rPr>
              <w:t>−2.36</w:t>
            </w:r>
          </w:p>
        </w:tc>
      </w:tr>
      <w:tr w:rsidR="00540C1D" w14:paraId="5DFAD968" w14:textId="77777777">
        <w:tc>
          <w:tcPr>
            <w:tcW w:w="0" w:type="auto"/>
          </w:tcPr>
          <w:p w14:paraId="41909A17" w14:textId="77777777" w:rsidR="00540C1D" w:rsidRDefault="00000000">
            <w:pPr>
              <w:pStyle w:val="Compact"/>
              <w:spacing w:after="0"/>
            </w:pPr>
            <w:r>
              <w:rPr>
                <w:sz w:val="18"/>
              </w:rPr>
              <w:t>CET ×2</w:t>
            </w:r>
          </w:p>
        </w:tc>
        <w:tc>
          <w:tcPr>
            <w:tcW w:w="0" w:type="auto"/>
          </w:tcPr>
          <w:p w14:paraId="63743799" w14:textId="77777777" w:rsidR="00540C1D" w:rsidRDefault="00000000">
            <w:pPr>
              <w:pStyle w:val="Compact"/>
              <w:spacing w:after="0"/>
            </w:pPr>
            <w:r>
              <w:rPr>
                <w:sz w:val="18"/>
              </w:rPr>
              <w:t>−0.50</w:t>
            </w:r>
          </w:p>
        </w:tc>
        <w:tc>
          <w:tcPr>
            <w:tcW w:w="0" w:type="auto"/>
          </w:tcPr>
          <w:p w14:paraId="7C85E137" w14:textId="77777777" w:rsidR="00540C1D" w:rsidRDefault="00000000">
            <w:pPr>
              <w:pStyle w:val="Compact"/>
              <w:spacing w:after="0"/>
            </w:pPr>
            <w:r>
              <w:rPr>
                <w:sz w:val="18"/>
              </w:rPr>
              <w:t>−1.79</w:t>
            </w:r>
          </w:p>
        </w:tc>
        <w:tc>
          <w:tcPr>
            <w:tcW w:w="0" w:type="auto"/>
          </w:tcPr>
          <w:p w14:paraId="371DE5C1" w14:textId="77777777" w:rsidR="00540C1D" w:rsidRDefault="00000000">
            <w:pPr>
              <w:pStyle w:val="Compact"/>
              <w:spacing w:after="0"/>
            </w:pPr>
            <w:r>
              <w:rPr>
                <w:sz w:val="18"/>
              </w:rPr>
              <w:t>+3.60</w:t>
            </w:r>
          </w:p>
        </w:tc>
        <w:tc>
          <w:tcPr>
            <w:tcW w:w="0" w:type="auto"/>
          </w:tcPr>
          <w:p w14:paraId="1103F0D0" w14:textId="77777777" w:rsidR="00540C1D" w:rsidRDefault="00000000">
            <w:pPr>
              <w:pStyle w:val="Compact"/>
              <w:spacing w:after="0"/>
            </w:pPr>
            <w:r>
              <w:rPr>
                <w:sz w:val="18"/>
              </w:rPr>
              <w:t>−3.03</w:t>
            </w:r>
          </w:p>
        </w:tc>
        <w:tc>
          <w:tcPr>
            <w:tcW w:w="0" w:type="auto"/>
          </w:tcPr>
          <w:p w14:paraId="5F3A0AEA" w14:textId="77777777" w:rsidR="00540C1D" w:rsidRDefault="00000000">
            <w:pPr>
              <w:pStyle w:val="Compact"/>
              <w:spacing w:after="0"/>
            </w:pPr>
            <w:r>
              <w:rPr>
                <w:sz w:val="18"/>
              </w:rPr>
              <w:t>−1.42</w:t>
            </w:r>
          </w:p>
        </w:tc>
        <w:tc>
          <w:tcPr>
            <w:tcW w:w="0" w:type="auto"/>
          </w:tcPr>
          <w:p w14:paraId="50C1AB6B" w14:textId="77777777" w:rsidR="00540C1D" w:rsidRDefault="00000000">
            <w:pPr>
              <w:pStyle w:val="Compact"/>
              <w:spacing w:after="0"/>
            </w:pPr>
            <w:r>
              <w:rPr>
                <w:sz w:val="18"/>
              </w:rPr>
              <w:t>−25.3</w:t>
            </w:r>
          </w:p>
        </w:tc>
        <w:tc>
          <w:tcPr>
            <w:tcW w:w="0" w:type="auto"/>
          </w:tcPr>
          <w:p w14:paraId="30D9FDBD" w14:textId="77777777" w:rsidR="00540C1D" w:rsidRDefault="00000000">
            <w:pPr>
              <w:pStyle w:val="Compact"/>
              <w:spacing w:after="0"/>
            </w:pPr>
            <w:r>
              <w:rPr>
                <w:sz w:val="18"/>
              </w:rPr>
              <w:t>+10.1</w:t>
            </w:r>
          </w:p>
        </w:tc>
        <w:tc>
          <w:tcPr>
            <w:tcW w:w="0" w:type="auto"/>
          </w:tcPr>
          <w:p w14:paraId="35E81BA5" w14:textId="77777777" w:rsidR="00540C1D" w:rsidRDefault="00000000">
            <w:pPr>
              <w:pStyle w:val="Compact"/>
              <w:spacing w:after="0"/>
            </w:pPr>
            <w:r>
              <w:rPr>
                <w:sz w:val="18"/>
              </w:rPr>
              <w:t>−2.41</w:t>
            </w:r>
          </w:p>
        </w:tc>
        <w:tc>
          <w:tcPr>
            <w:tcW w:w="0" w:type="auto"/>
          </w:tcPr>
          <w:p w14:paraId="24795692" w14:textId="77777777" w:rsidR="00540C1D" w:rsidRDefault="00000000">
            <w:pPr>
              <w:pStyle w:val="Compact"/>
              <w:spacing w:after="0"/>
            </w:pPr>
            <w:r>
              <w:rPr>
                <w:sz w:val="18"/>
              </w:rPr>
              <w:t>−2.27</w:t>
            </w:r>
          </w:p>
        </w:tc>
      </w:tr>
      <w:tr w:rsidR="00540C1D" w14:paraId="479A27B1" w14:textId="77777777">
        <w:tc>
          <w:tcPr>
            <w:tcW w:w="0" w:type="auto"/>
          </w:tcPr>
          <w:p w14:paraId="7B7357B9" w14:textId="77777777" w:rsidR="00540C1D" w:rsidRDefault="00000000">
            <w:pPr>
              <w:pStyle w:val="Compact"/>
              <w:spacing w:after="0"/>
            </w:pPr>
            <w:r>
              <w:rPr>
                <w:sz w:val="18"/>
              </w:rPr>
              <w:t>Energy labour share 20%</w:t>
            </w:r>
          </w:p>
        </w:tc>
        <w:tc>
          <w:tcPr>
            <w:tcW w:w="0" w:type="auto"/>
          </w:tcPr>
          <w:p w14:paraId="12F95875" w14:textId="77777777" w:rsidR="00540C1D" w:rsidRDefault="00000000">
            <w:pPr>
              <w:pStyle w:val="Compact"/>
              <w:spacing w:after="0"/>
            </w:pPr>
            <w:r>
              <w:rPr>
                <w:sz w:val="18"/>
              </w:rPr>
              <w:t>−0.88</w:t>
            </w:r>
          </w:p>
        </w:tc>
        <w:tc>
          <w:tcPr>
            <w:tcW w:w="0" w:type="auto"/>
          </w:tcPr>
          <w:p w14:paraId="02C34AE9" w14:textId="77777777" w:rsidR="00540C1D" w:rsidRDefault="00000000">
            <w:pPr>
              <w:pStyle w:val="Compact"/>
              <w:spacing w:after="0"/>
            </w:pPr>
            <w:r>
              <w:rPr>
                <w:sz w:val="18"/>
              </w:rPr>
              <w:t>−3.06</w:t>
            </w:r>
          </w:p>
        </w:tc>
        <w:tc>
          <w:tcPr>
            <w:tcW w:w="0" w:type="auto"/>
          </w:tcPr>
          <w:p w14:paraId="191D8E49" w14:textId="77777777" w:rsidR="00540C1D" w:rsidRDefault="00000000">
            <w:pPr>
              <w:pStyle w:val="Compact"/>
              <w:spacing w:after="0"/>
            </w:pPr>
            <w:r>
              <w:rPr>
                <w:sz w:val="18"/>
              </w:rPr>
              <w:t>+4.66</w:t>
            </w:r>
          </w:p>
        </w:tc>
        <w:tc>
          <w:tcPr>
            <w:tcW w:w="0" w:type="auto"/>
          </w:tcPr>
          <w:p w14:paraId="1DE83E7F" w14:textId="77777777" w:rsidR="00540C1D" w:rsidRDefault="00000000">
            <w:pPr>
              <w:pStyle w:val="Compact"/>
              <w:spacing w:after="0"/>
            </w:pPr>
            <w:r>
              <w:rPr>
                <w:sz w:val="18"/>
              </w:rPr>
              <w:t>−3.30</w:t>
            </w:r>
          </w:p>
        </w:tc>
        <w:tc>
          <w:tcPr>
            <w:tcW w:w="0" w:type="auto"/>
          </w:tcPr>
          <w:p w14:paraId="71B24C8D" w14:textId="77777777" w:rsidR="00540C1D" w:rsidRDefault="00000000">
            <w:pPr>
              <w:pStyle w:val="Compact"/>
              <w:spacing w:after="0"/>
            </w:pPr>
            <w:r>
              <w:rPr>
                <w:sz w:val="18"/>
              </w:rPr>
              <w:t>−3.63</w:t>
            </w:r>
          </w:p>
        </w:tc>
        <w:tc>
          <w:tcPr>
            <w:tcW w:w="0" w:type="auto"/>
          </w:tcPr>
          <w:p w14:paraId="602FA2D3" w14:textId="77777777" w:rsidR="00540C1D" w:rsidRDefault="00000000">
            <w:pPr>
              <w:pStyle w:val="Compact"/>
              <w:spacing w:after="0"/>
            </w:pPr>
            <w:r>
              <w:rPr>
                <w:sz w:val="18"/>
              </w:rPr>
              <w:t>−16.9</w:t>
            </w:r>
          </w:p>
        </w:tc>
        <w:tc>
          <w:tcPr>
            <w:tcW w:w="0" w:type="auto"/>
          </w:tcPr>
          <w:p w14:paraId="1E865E2F" w14:textId="77777777" w:rsidR="00540C1D" w:rsidRDefault="00000000">
            <w:pPr>
              <w:pStyle w:val="Compact"/>
              <w:spacing w:after="0"/>
            </w:pPr>
            <w:r>
              <w:rPr>
                <w:sz w:val="18"/>
              </w:rPr>
              <w:t>+16.1</w:t>
            </w:r>
          </w:p>
        </w:tc>
        <w:tc>
          <w:tcPr>
            <w:tcW w:w="0" w:type="auto"/>
          </w:tcPr>
          <w:p w14:paraId="23D7E946" w14:textId="77777777" w:rsidR="00540C1D" w:rsidRDefault="00000000">
            <w:pPr>
              <w:pStyle w:val="Compact"/>
              <w:spacing w:after="0"/>
            </w:pPr>
            <w:r>
              <w:rPr>
                <w:sz w:val="18"/>
              </w:rPr>
              <w:t>−2.86</w:t>
            </w:r>
          </w:p>
        </w:tc>
        <w:tc>
          <w:tcPr>
            <w:tcW w:w="0" w:type="auto"/>
          </w:tcPr>
          <w:p w14:paraId="2D1CDEC0" w14:textId="77777777" w:rsidR="00540C1D" w:rsidRDefault="00000000">
            <w:pPr>
              <w:pStyle w:val="Compact"/>
              <w:spacing w:after="0"/>
            </w:pPr>
            <w:r>
              <w:rPr>
                <w:sz w:val="18"/>
              </w:rPr>
              <w:t>−2.66</w:t>
            </w:r>
          </w:p>
        </w:tc>
      </w:tr>
    </w:tbl>
    <w:p w14:paraId="7FF19720" w14:textId="77777777" w:rsidR="00540C1D" w:rsidRDefault="00000000">
      <w:pPr>
        <w:pStyle w:val="Heading2"/>
        <w:spacing w:after="120"/>
      </w:pPr>
      <w:bookmarkStart w:id="36" w:name="what-is-robust"/>
      <w:r>
        <w:lastRenderedPageBreak/>
        <w:t>8.1 What is robust</w:t>
      </w:r>
    </w:p>
    <w:p w14:paraId="6E9C4CEA" w14:textId="77777777" w:rsidR="00B4259F" w:rsidRDefault="00B4259F" w:rsidP="00FA3D3D">
      <w:pPr>
        <w:pStyle w:val="Heading2"/>
        <w:spacing w:after="120" w:line="360" w:lineRule="auto"/>
        <w:jc w:val="both"/>
        <w:rPr>
          <w:rFonts w:ascii="Times New Roman" w:eastAsia="Times New Roman" w:hAnsi="Times New Roman" w:cs="Times New Roman"/>
          <w:b w:val="0"/>
          <w:bCs w:val="0"/>
          <w:color w:val="auto"/>
          <w:sz w:val="22"/>
          <w:szCs w:val="24"/>
        </w:rPr>
      </w:pPr>
      <w:bookmarkStart w:id="37" w:name="what-depends-on-assumptions"/>
      <w:bookmarkEnd w:id="36"/>
      <w:r w:rsidRPr="00B4259F">
        <w:rPr>
          <w:rFonts w:ascii="Times New Roman" w:eastAsia="Times New Roman" w:hAnsi="Times New Roman" w:cs="Times New Roman"/>
          <w:b w:val="0"/>
          <w:bCs w:val="0"/>
          <w:color w:val="auto"/>
          <w:sz w:val="22"/>
          <w:szCs w:val="24"/>
        </w:rPr>
        <w:t xml:space="preserve">The welfare loss of a household is the most stable outcome. The urban house hold covers between 2.4% and 2.9% in all 7 cases while rural offers 2.3% to 2.7%. In all instances, urban households suffer net losses compared with rural households. </w:t>
      </w:r>
    </w:p>
    <w:p w14:paraId="21917BB5" w14:textId="6543A19F" w:rsidR="00B4259F" w:rsidRDefault="00B4259F" w:rsidP="00FA3D3D">
      <w:pPr>
        <w:pStyle w:val="Heading2"/>
        <w:spacing w:after="120" w:line="360" w:lineRule="auto"/>
        <w:jc w:val="both"/>
        <w:rPr>
          <w:rFonts w:ascii="Times New Roman" w:eastAsia="Times New Roman" w:hAnsi="Times New Roman" w:cs="Times New Roman"/>
          <w:b w:val="0"/>
          <w:bCs w:val="0"/>
          <w:color w:val="auto"/>
          <w:sz w:val="22"/>
          <w:szCs w:val="24"/>
        </w:rPr>
      </w:pPr>
      <w:r w:rsidRPr="00B4259F">
        <w:rPr>
          <w:rFonts w:ascii="Times New Roman" w:eastAsia="Times New Roman" w:hAnsi="Times New Roman" w:cs="Times New Roman"/>
          <w:b w:val="0"/>
          <w:bCs w:val="0"/>
          <w:color w:val="auto"/>
          <w:sz w:val="22"/>
          <w:szCs w:val="24"/>
        </w:rPr>
        <w:t>In all cases, the decline in investment is about 3 percent, for the reduction in real saving is independent of trade elasticities. Real GDP depreciates by 0.50-0.98% and employment by 1.8-3.5%, so the direction and order (or approximate order) of the drop in production remains unchanged.</w:t>
      </w:r>
    </w:p>
    <w:p w14:paraId="78FCF38F" w14:textId="2D689E66" w:rsidR="00540C1D" w:rsidRDefault="00000000">
      <w:pPr>
        <w:pStyle w:val="Heading2"/>
        <w:spacing w:after="120"/>
      </w:pPr>
      <w:r>
        <w:t>8.2 What depends on assumptions</w:t>
      </w:r>
    </w:p>
    <w:p w14:paraId="2EE78196" w14:textId="77777777" w:rsidR="00B4259F" w:rsidRDefault="00B4259F" w:rsidP="00FF57B4">
      <w:pPr>
        <w:pStyle w:val="Heading2"/>
        <w:spacing w:after="120" w:line="360" w:lineRule="auto"/>
        <w:jc w:val="both"/>
        <w:rPr>
          <w:rFonts w:ascii="Times New Roman" w:eastAsia="Times New Roman" w:hAnsi="Times New Roman" w:cs="Times New Roman"/>
          <w:b w:val="0"/>
          <w:bCs w:val="0"/>
          <w:color w:val="auto"/>
          <w:sz w:val="22"/>
          <w:szCs w:val="24"/>
        </w:rPr>
      </w:pPr>
      <w:bookmarkStart w:id="38" w:name="summary"/>
      <w:bookmarkEnd w:id="37"/>
      <w:r w:rsidRPr="00B4259F">
        <w:rPr>
          <w:rFonts w:ascii="Times New Roman" w:eastAsia="Times New Roman" w:hAnsi="Times New Roman" w:cs="Times New Roman"/>
          <w:b w:val="0"/>
          <w:bCs w:val="0"/>
          <w:color w:val="auto"/>
          <w:sz w:val="22"/>
          <w:szCs w:val="24"/>
        </w:rPr>
        <w:t xml:space="preserve">The exchange rate result is the most sensitive one. Loss of value between 2.4% and 7.7%. If Armington elasticities are low, the Rupee has to depreciate further for external balance to be achieved as it is difficult to scale down the imports. </w:t>
      </w:r>
    </w:p>
    <w:p w14:paraId="3079F1CC" w14:textId="77777777" w:rsidR="00B4259F" w:rsidRDefault="00B4259F" w:rsidP="00FF57B4">
      <w:pPr>
        <w:pStyle w:val="Heading2"/>
        <w:spacing w:after="120" w:line="360" w:lineRule="auto"/>
        <w:jc w:val="both"/>
        <w:rPr>
          <w:rFonts w:ascii="Times New Roman" w:eastAsia="Times New Roman" w:hAnsi="Times New Roman" w:cs="Times New Roman"/>
          <w:b w:val="0"/>
          <w:bCs w:val="0"/>
          <w:color w:val="auto"/>
          <w:sz w:val="22"/>
          <w:szCs w:val="24"/>
        </w:rPr>
      </w:pPr>
      <w:r w:rsidRPr="00B4259F">
        <w:rPr>
          <w:rFonts w:ascii="Times New Roman" w:eastAsia="Times New Roman" w:hAnsi="Times New Roman" w:cs="Times New Roman"/>
          <w:b w:val="0"/>
          <w:bCs w:val="0"/>
          <w:color w:val="auto"/>
          <w:sz w:val="22"/>
          <w:szCs w:val="24"/>
        </w:rPr>
        <w:t xml:space="preserve">The energy Armington elasticity determines how split between price and quantity adjustment is in energy. The import value for energy is higher at 0.56, down 21.5%, while the domestic energy price increases by </w:t>
      </w:r>
      <w:proofErr w:type="gramStart"/>
      <w:r w:rsidRPr="00B4259F">
        <w:rPr>
          <w:rFonts w:ascii="Times New Roman" w:eastAsia="Times New Roman" w:hAnsi="Times New Roman" w:cs="Times New Roman"/>
          <w:b w:val="0"/>
          <w:bCs w:val="0"/>
          <w:color w:val="auto"/>
          <w:sz w:val="22"/>
          <w:szCs w:val="24"/>
        </w:rPr>
        <w:t>23.The</w:t>
      </w:r>
      <w:proofErr w:type="gramEnd"/>
      <w:r w:rsidRPr="00B4259F">
        <w:rPr>
          <w:rFonts w:ascii="Times New Roman" w:eastAsia="Times New Roman" w:hAnsi="Times New Roman" w:cs="Times New Roman"/>
          <w:b w:val="0"/>
          <w:bCs w:val="0"/>
          <w:color w:val="auto"/>
          <w:sz w:val="22"/>
          <w:szCs w:val="24"/>
        </w:rPr>
        <w:t xml:space="preserve"> energy import value is higher at 0.56 and decreases 21.5% while the domestic energy price increases by 23%. The loss of GDP and jobs are also higher due to less energy in the economy. However, domestic production increases at a time, when Pakistan relies on import of fuel for refining and for the electricity generation, by 0.2%. We thus continue to take 0.1 to be the most likely case of damage and we take 0.56 as an upper limit on the damage. </w:t>
      </w:r>
    </w:p>
    <w:p w14:paraId="4E70CE63" w14:textId="2DBC15BC" w:rsidR="00B4259F" w:rsidRDefault="00B4259F" w:rsidP="00FF57B4">
      <w:pPr>
        <w:pStyle w:val="Heading2"/>
        <w:spacing w:after="120" w:line="360" w:lineRule="auto"/>
        <w:jc w:val="both"/>
        <w:rPr>
          <w:rFonts w:ascii="Times New Roman" w:eastAsia="Times New Roman" w:hAnsi="Times New Roman" w:cs="Times New Roman"/>
          <w:b w:val="0"/>
          <w:bCs w:val="0"/>
          <w:color w:val="auto"/>
          <w:sz w:val="22"/>
          <w:szCs w:val="24"/>
        </w:rPr>
      </w:pPr>
      <w:r w:rsidRPr="00B4259F">
        <w:rPr>
          <w:rFonts w:ascii="Times New Roman" w:eastAsia="Times New Roman" w:hAnsi="Times New Roman" w:cs="Times New Roman"/>
          <w:b w:val="0"/>
          <w:bCs w:val="0"/>
          <w:color w:val="auto"/>
          <w:sz w:val="22"/>
          <w:szCs w:val="24"/>
        </w:rPr>
        <w:t xml:space="preserve">The energy </w:t>
      </w:r>
      <w:r w:rsidR="00225E8D" w:rsidRPr="00B4259F">
        <w:rPr>
          <w:rFonts w:ascii="Times New Roman" w:eastAsia="Times New Roman" w:hAnsi="Times New Roman" w:cs="Times New Roman"/>
          <w:b w:val="0"/>
          <w:bCs w:val="0"/>
          <w:color w:val="auto"/>
          <w:sz w:val="22"/>
          <w:szCs w:val="24"/>
        </w:rPr>
        <w:t>labor</w:t>
      </w:r>
      <w:r w:rsidRPr="00B4259F">
        <w:rPr>
          <w:rFonts w:ascii="Times New Roman" w:eastAsia="Times New Roman" w:hAnsi="Times New Roman" w:cs="Times New Roman"/>
          <w:b w:val="0"/>
          <w:bCs w:val="0"/>
          <w:color w:val="auto"/>
          <w:sz w:val="22"/>
          <w:szCs w:val="24"/>
        </w:rPr>
        <w:t xml:space="preserve"> share is crucial to the amount of the loss. When the real wage rate is fixed, </w:t>
      </w:r>
      <w:r w:rsidR="00225E8D" w:rsidRPr="00B4259F">
        <w:rPr>
          <w:rFonts w:ascii="Times New Roman" w:eastAsia="Times New Roman" w:hAnsi="Times New Roman" w:cs="Times New Roman"/>
          <w:b w:val="0"/>
          <w:bCs w:val="0"/>
          <w:color w:val="auto"/>
          <w:sz w:val="22"/>
          <w:szCs w:val="24"/>
        </w:rPr>
        <w:t>labor-intensive</w:t>
      </w:r>
      <w:r w:rsidRPr="00B4259F">
        <w:rPr>
          <w:rFonts w:ascii="Times New Roman" w:eastAsia="Times New Roman" w:hAnsi="Times New Roman" w:cs="Times New Roman"/>
          <w:b w:val="0"/>
          <w:bCs w:val="0"/>
          <w:color w:val="auto"/>
          <w:sz w:val="22"/>
          <w:szCs w:val="24"/>
        </w:rPr>
        <w:t xml:space="preserve"> energy production is less affected than other sectors by a fall in GDP, falling by 3.6% as opposed to a fall of 0.88% when GDP falls by 20% rather than by 4.9% given in the bottom half of the table. This 4.9% is based on the assumption of the proportion of energy-related jobs in the LFS, and the actual employment loss could be in the vicinity of this higher estimate.</w:t>
      </w:r>
    </w:p>
    <w:p w14:paraId="1676F806" w14:textId="513DE46B" w:rsidR="00540C1D" w:rsidRDefault="00000000">
      <w:pPr>
        <w:pStyle w:val="Heading2"/>
        <w:spacing w:after="120"/>
      </w:pPr>
      <w:r>
        <w:t>8.3 Summary</w:t>
      </w:r>
    </w:p>
    <w:p w14:paraId="52BA4F3B" w14:textId="5DCFA0B2" w:rsidR="00B4259F" w:rsidRDefault="00B4259F" w:rsidP="00FF57B4">
      <w:pPr>
        <w:pStyle w:val="Heading1"/>
        <w:spacing w:after="120" w:line="360" w:lineRule="auto"/>
        <w:jc w:val="both"/>
        <w:rPr>
          <w:rFonts w:ascii="Times New Roman" w:eastAsia="Times New Roman" w:hAnsi="Times New Roman" w:cs="Times New Roman"/>
          <w:b w:val="0"/>
          <w:bCs w:val="0"/>
          <w:color w:val="auto"/>
          <w:sz w:val="22"/>
          <w:szCs w:val="24"/>
        </w:rPr>
      </w:pPr>
      <w:bookmarkStart w:id="39" w:name="policy-implications"/>
      <w:bookmarkEnd w:id="35"/>
      <w:bookmarkEnd w:id="38"/>
      <w:r w:rsidRPr="00B4259F">
        <w:rPr>
          <w:rFonts w:ascii="Times New Roman" w:eastAsia="Times New Roman" w:hAnsi="Times New Roman" w:cs="Times New Roman"/>
          <w:b w:val="0"/>
          <w:bCs w:val="0"/>
          <w:color w:val="auto"/>
          <w:sz w:val="22"/>
          <w:szCs w:val="24"/>
        </w:rPr>
        <w:t xml:space="preserve">Central estimates are conventional. All alternative cases result in similar or larger welfare losses — the higher the value of CET elasticities (and Armington elasticities for urban households) the smaller the losses, but below 0.1 percentage point. Both the greatest degree of uncertainty, the energy Armington elasticity and the energy </w:t>
      </w:r>
      <w:r w:rsidR="00225E8D" w:rsidRPr="00B4259F">
        <w:rPr>
          <w:rFonts w:ascii="Times New Roman" w:eastAsia="Times New Roman" w:hAnsi="Times New Roman" w:cs="Times New Roman"/>
          <w:b w:val="0"/>
          <w:bCs w:val="0"/>
          <w:color w:val="auto"/>
          <w:sz w:val="22"/>
          <w:szCs w:val="24"/>
        </w:rPr>
        <w:t>labor</w:t>
      </w:r>
      <w:r w:rsidRPr="00B4259F">
        <w:rPr>
          <w:rFonts w:ascii="Times New Roman" w:eastAsia="Times New Roman" w:hAnsi="Times New Roman" w:cs="Times New Roman"/>
          <w:b w:val="0"/>
          <w:bCs w:val="0"/>
          <w:color w:val="auto"/>
          <w:sz w:val="22"/>
          <w:szCs w:val="24"/>
        </w:rPr>
        <w:t xml:space="preserve"> share, </w:t>
      </w:r>
      <w:r w:rsidR="00225E8D" w:rsidRPr="00B4259F">
        <w:rPr>
          <w:rFonts w:ascii="Times New Roman" w:eastAsia="Times New Roman" w:hAnsi="Times New Roman" w:cs="Times New Roman"/>
          <w:b w:val="0"/>
          <w:bCs w:val="0"/>
          <w:color w:val="auto"/>
          <w:sz w:val="22"/>
          <w:szCs w:val="24"/>
        </w:rPr>
        <w:t>drives</w:t>
      </w:r>
      <w:r w:rsidRPr="00B4259F">
        <w:rPr>
          <w:rFonts w:ascii="Times New Roman" w:eastAsia="Times New Roman" w:hAnsi="Times New Roman" w:cs="Times New Roman"/>
          <w:b w:val="0"/>
          <w:bCs w:val="0"/>
          <w:color w:val="auto"/>
          <w:sz w:val="22"/>
          <w:szCs w:val="24"/>
        </w:rPr>
        <w:t xml:space="preserve"> upwards GDP losses, close to 1%.</w:t>
      </w:r>
    </w:p>
    <w:p w14:paraId="730E3A0E" w14:textId="02961543" w:rsidR="00540C1D" w:rsidRDefault="00000000">
      <w:pPr>
        <w:pStyle w:val="Heading1"/>
        <w:spacing w:after="120"/>
      </w:pPr>
      <w:r>
        <w:lastRenderedPageBreak/>
        <w:t>9. Policy implications</w:t>
      </w:r>
    </w:p>
    <w:p w14:paraId="03D627FF" w14:textId="77777777" w:rsidR="00540C1D" w:rsidRDefault="00000000" w:rsidP="00FF57B4">
      <w:pPr>
        <w:pStyle w:val="FirstParagraph"/>
        <w:spacing w:after="120" w:line="360" w:lineRule="auto"/>
        <w:jc w:val="both"/>
      </w:pPr>
      <w:r>
        <w:t>The results point to five priorities. The first three follow directly from the model; the last two are directions for policy that the current model does not yet simulate.</w:t>
      </w:r>
    </w:p>
    <w:p w14:paraId="49C90D52" w14:textId="77777777" w:rsidR="00540C1D" w:rsidRDefault="00000000">
      <w:pPr>
        <w:pStyle w:val="Heading2"/>
        <w:spacing w:after="120"/>
      </w:pPr>
      <w:bookmarkStart w:id="40" w:name="protect-jobs-not-only-prices"/>
      <w:r>
        <w:t>9.1 Protect jobs, not only prices</w:t>
      </w:r>
    </w:p>
    <w:p w14:paraId="4110D8A8" w14:textId="77777777" w:rsidR="00540C1D" w:rsidRDefault="00000000" w:rsidP="00FF57B4">
      <w:pPr>
        <w:pStyle w:val="FirstParagraph"/>
        <w:spacing w:after="120" w:line="360" w:lineRule="auto"/>
        <w:jc w:val="both"/>
      </w:pPr>
      <w:r>
        <w:t>Under a rigid real wage, the peak shock pushes 1.9% of the labour force out of work, and welfare losses are 20–25% larger than under flexible wages. Short-term employment support in Services and energy-linked activities, such as transport and trade, would reduce the largest part of the loss. This is where most jobs are lost in absolute terms.</w:t>
      </w:r>
    </w:p>
    <w:p w14:paraId="3E548504" w14:textId="77777777" w:rsidR="00540C1D" w:rsidRDefault="00000000">
      <w:pPr>
        <w:pStyle w:val="Heading2"/>
        <w:spacing w:after="120"/>
      </w:pPr>
      <w:bookmarkStart w:id="41" w:name="X2e64ae1630e1862f02b761b2f88d84e255d3982"/>
      <w:bookmarkEnd w:id="40"/>
      <w:r>
        <w:t>9.2 Let the exchange rate adjust, but manage the pass-through</w:t>
      </w:r>
    </w:p>
    <w:p w14:paraId="4B7FB814" w14:textId="77777777" w:rsidR="00540C1D" w:rsidRDefault="00000000" w:rsidP="00FF57B4">
      <w:pPr>
        <w:pStyle w:val="FirstParagraph"/>
        <w:spacing w:after="120" w:line="360" w:lineRule="auto"/>
        <w:jc w:val="both"/>
      </w:pPr>
      <w:r>
        <w:t>The rupee carries most of the adjustment, depreciating by 2–5% in the central case and by up to 7.7% when imports are hard to substitute. Resisting this would drain reserves that are already thin. The State Bank should allow the adjustment while targeting second-round inflation, since depreciation also raises the rupee value of remittances and supports exporters.</w:t>
      </w:r>
    </w:p>
    <w:p w14:paraId="7DC5B7FF" w14:textId="77777777" w:rsidR="00540C1D" w:rsidRDefault="00000000">
      <w:pPr>
        <w:pStyle w:val="Heading2"/>
        <w:spacing w:after="120"/>
      </w:pPr>
      <w:bookmarkStart w:id="42" w:name="avoid-broad-fuel-subsidies"/>
      <w:bookmarkEnd w:id="41"/>
      <w:r>
        <w:t>9.3 Avoid broad fuel subsidies</w:t>
      </w:r>
    </w:p>
    <w:p w14:paraId="25309E96" w14:textId="77777777" w:rsidR="00540C1D" w:rsidRDefault="00000000" w:rsidP="00FF57B4">
      <w:pPr>
        <w:pStyle w:val="FirstParagraph"/>
        <w:spacing w:after="120" w:line="360" w:lineRule="auto"/>
        <w:jc w:val="both"/>
      </w:pPr>
      <w:r>
        <w:t>In March 2026, the government spent Rs125 billion to hold petroleum prices constant (The News, 2026). A broad subsidy shifts the shock onto a budget that already runs a large deficit. Because urban and rural households lose by similar amounts, targeted cash transfers through BISP would protect poor households at lower fiscal cost than untargeted price relief.</w:t>
      </w:r>
    </w:p>
    <w:p w14:paraId="5540982A" w14:textId="77777777" w:rsidR="00540C1D" w:rsidRDefault="00000000">
      <w:pPr>
        <w:pStyle w:val="Heading2"/>
        <w:spacing w:after="120"/>
      </w:pPr>
      <w:bookmarkStart w:id="43" w:name="build-strategic-storage"/>
      <w:bookmarkEnd w:id="42"/>
      <w:r>
        <w:t>9.4 Build strategic storage</w:t>
      </w:r>
    </w:p>
    <w:p w14:paraId="2A1A5B86" w14:textId="77777777" w:rsidR="00540C1D" w:rsidRDefault="00000000" w:rsidP="00FF57B4">
      <w:pPr>
        <w:pStyle w:val="FirstParagraph"/>
        <w:spacing w:after="120" w:line="360" w:lineRule="auto"/>
        <w:jc w:val="both"/>
      </w:pPr>
      <w:r>
        <w:t>Pakistan holds less than 30 days of oil reserve cover (Business Recorder, 2026). The model shows that energy imports cannot be cut quickly without losing output. Larger strategic storage would let the country ride out a short closure without cutting supply, which turns a quantity shock into a manageable price shock.</w:t>
      </w:r>
    </w:p>
    <w:p w14:paraId="5035FC78" w14:textId="77777777" w:rsidR="00540C1D" w:rsidRDefault="00000000">
      <w:pPr>
        <w:pStyle w:val="Heading2"/>
        <w:spacing w:after="120"/>
      </w:pPr>
      <w:bookmarkStart w:id="44" w:name="diversify-supply-routes-and-fuels"/>
      <w:bookmarkEnd w:id="43"/>
      <w:r>
        <w:t>9.5 Diversify supply routes and fuels</w:t>
      </w:r>
    </w:p>
    <w:p w14:paraId="42236ACD" w14:textId="77777777" w:rsidR="00540C1D" w:rsidRDefault="00000000" w:rsidP="00FF57B4">
      <w:pPr>
        <w:pStyle w:val="FirstParagraph"/>
        <w:spacing w:after="120" w:line="360" w:lineRule="auto"/>
        <w:jc w:val="both"/>
      </w:pPr>
      <w:r>
        <w:t>The near-Leontief link between imported fuel and domestic energy is the core reason the shock is costly. Supply from outside the Gulf, overland routes, and domestic renewables would raise the effective substitution elasticity over time. The sensitivity results show that higher substitution lowers energy job losses from 26% to 17%.</w:t>
      </w:r>
    </w:p>
    <w:p w14:paraId="63C500D4" w14:textId="77777777" w:rsidR="00540C1D" w:rsidRDefault="00000000" w:rsidP="00FF57B4">
      <w:pPr>
        <w:pStyle w:val="BodyText"/>
        <w:spacing w:after="120" w:line="360" w:lineRule="auto"/>
        <w:jc w:val="both"/>
      </w:pPr>
      <w:r>
        <w:lastRenderedPageBreak/>
        <w:t>Simulating targeted transfers, fuel subsidies and import-parity pricing directly is a natural next step for this model.</w:t>
      </w:r>
    </w:p>
    <w:p w14:paraId="17BDB45D" w14:textId="77777777" w:rsidR="00540C1D" w:rsidRDefault="00000000">
      <w:pPr>
        <w:pStyle w:val="Heading1"/>
        <w:spacing w:after="120"/>
      </w:pPr>
      <w:bookmarkStart w:id="45" w:name="conclusion"/>
      <w:bookmarkEnd w:id="39"/>
      <w:bookmarkEnd w:id="44"/>
      <w:r>
        <w:t>10. Conclusion</w:t>
      </w:r>
    </w:p>
    <w:p w14:paraId="63BD041D" w14:textId="77777777" w:rsidR="00540C1D" w:rsidRDefault="00000000" w:rsidP="00FF57B4">
      <w:pPr>
        <w:pStyle w:val="FirstParagraph"/>
        <w:spacing w:after="120" w:line="360" w:lineRule="auto"/>
        <w:jc w:val="both"/>
      </w:pPr>
      <w:r>
        <w:t>This paper builds a new 2015-16 SAM for Pakistan from official PBS, LFS, HIES, MoF and SBP data, and uses it to calibrate a CGE model of a Strait of Hormuz disruption. A 71% rise in the price of imported energy cuts real GDP by 0.54%, raises unemployment by 1.9% of the labour force, lowers investment by 3%, and reduces household welfare by 2.3–2.5%. The rupee depreciates by about 5%, and energy employment falls by a quarter.</w:t>
      </w:r>
    </w:p>
    <w:p w14:paraId="6553AC71" w14:textId="77777777" w:rsidR="00540C1D" w:rsidRDefault="00000000" w:rsidP="00FF57B4">
      <w:pPr>
        <w:pStyle w:val="BodyText"/>
        <w:spacing w:after="120" w:line="360" w:lineRule="auto"/>
        <w:jc w:val="both"/>
      </w:pPr>
      <w:r>
        <w:t>Three findings stand out. First, the labour market decides how much the shock costs: with rigid wages, losses are markedly larger. Second, the inability to replace imported fuel with domestic energy is what makes the shock expensive, so treating energy imports as easily substitutable understates the damage. Third, the welfare result is robust across all sensitivity cases, and it matches the range found by global trade models for South Asia.</w:t>
      </w:r>
    </w:p>
    <w:p w14:paraId="560B5812" w14:textId="77777777" w:rsidR="00540C1D" w:rsidRDefault="00000000">
      <w:pPr>
        <w:pStyle w:val="Heading2"/>
        <w:spacing w:after="120"/>
      </w:pPr>
      <w:bookmarkStart w:id="46" w:name="limitations-1"/>
      <w:r>
        <w:t>Limitations</w:t>
      </w:r>
    </w:p>
    <w:p w14:paraId="4E1D9AE6" w14:textId="407039DB" w:rsidR="00B4259F" w:rsidRDefault="00B4259F" w:rsidP="00FF57B4">
      <w:pPr>
        <w:pStyle w:val="Heading2"/>
        <w:spacing w:after="120" w:line="360" w:lineRule="auto"/>
        <w:jc w:val="both"/>
        <w:rPr>
          <w:rFonts w:ascii="Times New Roman" w:eastAsia="Times New Roman" w:hAnsi="Times New Roman" w:cs="Times New Roman"/>
          <w:b w:val="0"/>
          <w:bCs w:val="0"/>
          <w:color w:val="auto"/>
          <w:sz w:val="22"/>
          <w:szCs w:val="24"/>
        </w:rPr>
      </w:pPr>
      <w:bookmarkStart w:id="47" w:name="future-work"/>
      <w:bookmarkEnd w:id="46"/>
      <w:r w:rsidRPr="00B4259F">
        <w:rPr>
          <w:rFonts w:ascii="Times New Roman" w:eastAsia="Times New Roman" w:hAnsi="Times New Roman" w:cs="Times New Roman"/>
          <w:b w:val="0"/>
          <w:bCs w:val="0"/>
          <w:color w:val="auto"/>
          <w:sz w:val="22"/>
          <w:szCs w:val="24"/>
        </w:rPr>
        <w:t xml:space="preserve">The model is static, featuring four sectors, one </w:t>
      </w:r>
      <w:r w:rsidR="00FF57B4" w:rsidRPr="00B4259F">
        <w:rPr>
          <w:rFonts w:ascii="Times New Roman" w:eastAsia="Times New Roman" w:hAnsi="Times New Roman" w:cs="Times New Roman"/>
          <w:b w:val="0"/>
          <w:bCs w:val="0"/>
          <w:color w:val="auto"/>
          <w:sz w:val="22"/>
          <w:szCs w:val="24"/>
        </w:rPr>
        <w:t>labor</w:t>
      </w:r>
      <w:r w:rsidRPr="00B4259F">
        <w:rPr>
          <w:rFonts w:ascii="Times New Roman" w:eastAsia="Times New Roman" w:hAnsi="Times New Roman" w:cs="Times New Roman"/>
          <w:b w:val="0"/>
          <w:bCs w:val="0"/>
          <w:color w:val="auto"/>
          <w:sz w:val="22"/>
          <w:szCs w:val="24"/>
        </w:rPr>
        <w:t xml:space="preserve"> type and two household groups. It takes the shock as a price increase (rather than physical rationing) and omits remittance losses from Gulf economies (which would add significantly to the impact of the shock). Domestic energy is priced at cost (rather than import parity) so consumer price implications are probably underestimated. The base period (2015-16) is the most recent year for which Supply-Use tables were officially published, but precedes recent structural change.</w:t>
      </w:r>
    </w:p>
    <w:p w14:paraId="570FDBE6" w14:textId="7FE34D68" w:rsidR="00540C1D" w:rsidRDefault="00000000">
      <w:pPr>
        <w:pStyle w:val="Heading2"/>
        <w:spacing w:after="120"/>
      </w:pPr>
      <w:r>
        <w:t>Future work</w:t>
      </w:r>
    </w:p>
    <w:p w14:paraId="1673E7F7" w14:textId="77777777" w:rsidR="00540C1D" w:rsidRDefault="00000000" w:rsidP="00FF57B4">
      <w:pPr>
        <w:pStyle w:val="FirstParagraph"/>
        <w:spacing w:after="120" w:line="360" w:lineRule="auto"/>
        <w:jc w:val="both"/>
      </w:pPr>
      <w:r>
        <w:t>Three extensions follow directly: a recursive-dynamic version to trace recovery over time; policy scenarios for targeted transfers, fuel subsidies and import-parity pricing; and a remittance shock, since roughly 55% of Pakistan’s remittances come from the Middle East (Dawn, 2026).</w:t>
      </w:r>
    </w:p>
    <w:p w14:paraId="7796A74C" w14:textId="77777777" w:rsidR="00540C1D" w:rsidRDefault="00000000">
      <w:pPr>
        <w:pStyle w:val="Heading1"/>
        <w:spacing w:after="120"/>
      </w:pPr>
      <w:bookmarkStart w:id="48" w:name="references"/>
      <w:bookmarkEnd w:id="45"/>
      <w:bookmarkEnd w:id="47"/>
      <w:r>
        <w:t>References</w:t>
      </w:r>
    </w:p>
    <w:p w14:paraId="699D1421" w14:textId="77777777" w:rsidR="00540C1D" w:rsidRDefault="00000000">
      <w:pPr>
        <w:pStyle w:val="FirstParagraph"/>
        <w:spacing w:after="120"/>
      </w:pPr>
      <w:r>
        <w:t xml:space="preserve">Aziz, S., Yaseen, M. R., &amp; Anwar, S. (2016). Impact of rising energy prices on consumer’s welfare: A case study of Pakistan. </w:t>
      </w:r>
      <w:r>
        <w:rPr>
          <w:i/>
          <w:iCs/>
        </w:rPr>
        <w:t>The Pakistan Development Review</w:t>
      </w:r>
      <w:r>
        <w:t>, 55(4), 605–618.</w:t>
      </w:r>
    </w:p>
    <w:p w14:paraId="4A1A2A34" w14:textId="77777777" w:rsidR="00540C1D" w:rsidRDefault="00000000">
      <w:pPr>
        <w:pStyle w:val="BodyText"/>
        <w:spacing w:after="120"/>
      </w:pPr>
      <w:r>
        <w:t>Business Recorder. (2026, March 26). Oil shock from ME tensions threatens to widen Pakistan’s C/A. https://www.brecorder.com/news/40413032/oil-shock-from-me-tensions-threatens-to-widen-pakistans-ca</w:t>
      </w:r>
    </w:p>
    <w:p w14:paraId="68D1DC2A" w14:textId="77777777" w:rsidR="00540C1D" w:rsidRDefault="00000000">
      <w:pPr>
        <w:pStyle w:val="BodyText"/>
        <w:spacing w:after="120"/>
      </w:pPr>
      <w:r>
        <w:lastRenderedPageBreak/>
        <w:t>Dallas Fed. (2026). What the closure of the Strait of Hormuz means for the global economy. Federal Reserve Bank of Dallas. https://www.dallasfed.org/research/economics/2026/0320</w:t>
      </w:r>
    </w:p>
    <w:p w14:paraId="55F817D7" w14:textId="77777777" w:rsidR="00540C1D" w:rsidRDefault="00000000">
      <w:pPr>
        <w:pStyle w:val="BodyText"/>
        <w:spacing w:after="120"/>
      </w:pPr>
      <w:r>
        <w:t>Dawn. (2026, March 15). Oil shock may cost Pakistan 1.5pc of GDP: experts. https://www.dawn.com/news/1982248</w:t>
      </w:r>
    </w:p>
    <w:p w14:paraId="29B7721E" w14:textId="77777777" w:rsidR="00540C1D" w:rsidRDefault="00000000">
      <w:pPr>
        <w:pStyle w:val="BodyText"/>
        <w:spacing w:after="120"/>
      </w:pPr>
      <w:r>
        <w:t>Debowicz, D., Dorosh, P. A., Robinson, S., &amp; Haider, S. H. (2012). A 2007-08 social accounting matrix for Pakistan. PSSP Working Paper 1, IFPRI. https://ideas.repec.org/p/fpr/psspwp/1.html</w:t>
      </w:r>
    </w:p>
    <w:p w14:paraId="7DA1A8A9" w14:textId="77777777" w:rsidR="00540C1D" w:rsidRDefault="00000000">
      <w:pPr>
        <w:pStyle w:val="BodyText"/>
        <w:spacing w:after="120"/>
      </w:pPr>
      <w:r>
        <w:t xml:space="preserve">Debowicz, D., Dorosh, P., Haider, H., &amp; Robinson, S. (2013). A disaggregated and macro-consistent social accounting matrix for Pakistan. </w:t>
      </w:r>
      <w:r>
        <w:rPr>
          <w:i/>
          <w:iCs/>
        </w:rPr>
        <w:t>Journal of Economic Structures</w:t>
      </w:r>
      <w:r>
        <w:t>, 2(1), 1–25. https://doi.org/10.1186/2193-2409-2-4</w:t>
      </w:r>
    </w:p>
    <w:p w14:paraId="3DD04B56" w14:textId="77777777" w:rsidR="00540C1D" w:rsidRDefault="00000000">
      <w:pPr>
        <w:pStyle w:val="BodyText"/>
        <w:spacing w:after="120"/>
      </w:pPr>
      <w:r>
        <w:t>Dick, H., Gupta, S., Vincent, D., &amp; Voigt, H. (1984). Effect of oil price increases on four oil-poor developing countries: A comparative analysis. https://www.osti.gov/etdeweb/biblio/5187868</w:t>
      </w:r>
    </w:p>
    <w:p w14:paraId="7AE70A77" w14:textId="77777777" w:rsidR="00540C1D" w:rsidRDefault="00000000">
      <w:pPr>
        <w:pStyle w:val="BodyText"/>
        <w:spacing w:after="120"/>
      </w:pPr>
      <w:r>
        <w:t xml:space="preserve">Gollin, D. (2002). Getting income shares right. </w:t>
      </w:r>
      <w:r>
        <w:rPr>
          <w:i/>
          <w:iCs/>
        </w:rPr>
        <w:t>Journal of Political Economy</w:t>
      </w:r>
      <w:r>
        <w:t>, 110(2), 458–474. https://doi.org/10.1086/338747</w:t>
      </w:r>
    </w:p>
    <w:p w14:paraId="0C896A79" w14:textId="77777777" w:rsidR="00540C1D" w:rsidRDefault="00000000">
      <w:pPr>
        <w:pStyle w:val="BodyText"/>
        <w:spacing w:after="120"/>
      </w:pPr>
      <w:r>
        <w:t xml:space="preserve">Khan, M. A., &amp; Ahmed, A. (2011). Macroeconomic effects of global food and oil price shocks to the Pakistan economy: A structural vector autoregressive (SVAR) analysis. </w:t>
      </w:r>
      <w:r>
        <w:rPr>
          <w:i/>
          <w:iCs/>
        </w:rPr>
        <w:t>The Pakistan Development Review</w:t>
      </w:r>
      <w:r>
        <w:t>, 50(4), 491–511.</w:t>
      </w:r>
    </w:p>
    <w:p w14:paraId="0EC66586" w14:textId="77777777" w:rsidR="00540C1D" w:rsidRDefault="00000000">
      <w:pPr>
        <w:pStyle w:val="BodyText"/>
        <w:spacing w:after="120"/>
      </w:pPr>
      <w:r>
        <w:t xml:space="preserve">Khan, S., Khan, M. A., &amp; Padda, I. H. (2025). The efficiency aspect of taxation in Pakistan: A computable general equilibrium approach. </w:t>
      </w:r>
      <w:r>
        <w:rPr>
          <w:i/>
          <w:iCs/>
        </w:rPr>
        <w:t>Foreign Trade Review</w:t>
      </w:r>
      <w:r>
        <w:t>. https://doi.org/10.1177/00157325241266037</w:t>
      </w:r>
    </w:p>
    <w:p w14:paraId="6C3176AE" w14:textId="77777777" w:rsidR="00540C1D" w:rsidRDefault="00000000">
      <w:pPr>
        <w:pStyle w:val="BodyText"/>
        <w:spacing w:after="120"/>
      </w:pPr>
      <w:r>
        <w:t>Kiel Institute. (2026). Strait of Hormuz closure triggers global supply shock with disproportionate food security risks. https://www.kielinstitut.de/publications/news/strait-of-hormuz-closure-triggers-global-supply-shock-with-disproportionate-food-security-risks/</w:t>
      </w:r>
    </w:p>
    <w:p w14:paraId="40A2E979" w14:textId="77777777" w:rsidR="00540C1D" w:rsidRDefault="00000000">
      <w:pPr>
        <w:pStyle w:val="BodyText"/>
        <w:spacing w:after="120"/>
      </w:pPr>
      <w:r>
        <w:t xml:space="preserve">Lofgren, H., Harris, R. L., &amp; Robinson, S. (2002). </w:t>
      </w:r>
      <w:r>
        <w:rPr>
          <w:i/>
          <w:iCs/>
        </w:rPr>
        <w:t>A standard computable general equilibrium (CGE) model in GAMS</w:t>
      </w:r>
      <w:r>
        <w:t>. Microcomputers in Policy Research 5, IFPRI.</w:t>
      </w:r>
    </w:p>
    <w:p w14:paraId="44E38EF7" w14:textId="77777777" w:rsidR="00540C1D" w:rsidRDefault="00000000">
      <w:pPr>
        <w:pStyle w:val="BodyText"/>
        <w:spacing w:after="120"/>
      </w:pPr>
      <w:r>
        <w:t xml:space="preserve">Mahmood, A., &amp; Marpaung, C. O. P. (2014). Carbon pricing and energy efficiency improvement – why to miss the interaction for developing economies? An illustrative CGE based application to the Pakistan case. </w:t>
      </w:r>
      <w:r>
        <w:rPr>
          <w:i/>
          <w:iCs/>
        </w:rPr>
        <w:t>Energy Policy</w:t>
      </w:r>
      <w:r>
        <w:t>.</w:t>
      </w:r>
    </w:p>
    <w:p w14:paraId="68F0628F" w14:textId="77777777" w:rsidR="00540C1D" w:rsidRDefault="00000000">
      <w:pPr>
        <w:pStyle w:val="BodyText"/>
        <w:spacing w:after="120"/>
      </w:pPr>
      <w:r>
        <w:t xml:space="preserve">Mohanasundari, T., Prahadeeswaran, M., Sen, B., &amp; Chauhan, A. (2025). Crude oil price surge and its economic implications for India: Policy simulations using a CGE framework. </w:t>
      </w:r>
      <w:r>
        <w:rPr>
          <w:i/>
          <w:iCs/>
        </w:rPr>
        <w:t>SN Business &amp; Economics</w:t>
      </w:r>
      <w:r>
        <w:t>, 5, 198. https://doi.org/10.1007/s43546-025-00971-z</w:t>
      </w:r>
    </w:p>
    <w:p w14:paraId="6901F711" w14:textId="77777777" w:rsidR="00540C1D" w:rsidRDefault="00000000">
      <w:pPr>
        <w:pStyle w:val="BodyText"/>
        <w:spacing w:after="120"/>
      </w:pPr>
      <w:r>
        <w:t xml:space="preserve">Naqvi, F. (1998). A computable general equilibrium model of energy, economy and equity interactions in Pakistan. </w:t>
      </w:r>
      <w:r>
        <w:rPr>
          <w:i/>
          <w:iCs/>
        </w:rPr>
        <w:t>Energy Economics</w:t>
      </w:r>
      <w:r>
        <w:t>, 20(4), 347–373.</w:t>
      </w:r>
    </w:p>
    <w:p w14:paraId="0B702F54" w14:textId="77777777" w:rsidR="00540C1D" w:rsidRDefault="00000000">
      <w:pPr>
        <w:pStyle w:val="BodyText"/>
        <w:spacing w:after="120"/>
      </w:pPr>
      <w:r>
        <w:t xml:space="preserve">Pakistan Bureau of Statistics. (n.d.). </w:t>
      </w:r>
      <w:r>
        <w:rPr>
          <w:i/>
          <w:iCs/>
        </w:rPr>
        <w:t>Supply and Use Tables and Input-Output Table of Pakistan 2015-16</w:t>
      </w:r>
      <w:r>
        <w:t>. Islamabad: PBS.</w:t>
      </w:r>
    </w:p>
    <w:p w14:paraId="69D46F6C" w14:textId="77777777" w:rsidR="00540C1D" w:rsidRDefault="00000000">
      <w:pPr>
        <w:pStyle w:val="BodyText"/>
        <w:spacing w:after="120"/>
      </w:pPr>
      <w:r>
        <w:t xml:space="preserve">Pakistan Bureau of Statistics. (2015). </w:t>
      </w:r>
      <w:r>
        <w:rPr>
          <w:i/>
          <w:iCs/>
        </w:rPr>
        <w:t>Labour Force Survey 2014-15: Annual Report</w:t>
      </w:r>
      <w:r>
        <w:t>. Islamabad: PBS.</w:t>
      </w:r>
    </w:p>
    <w:p w14:paraId="15C36E22" w14:textId="77777777" w:rsidR="00540C1D" w:rsidRDefault="00000000">
      <w:pPr>
        <w:pStyle w:val="BodyText"/>
        <w:spacing w:after="120"/>
      </w:pPr>
      <w:r>
        <w:t xml:space="preserve">Pakistan Bureau of Statistics. (2017). </w:t>
      </w:r>
      <w:r>
        <w:rPr>
          <w:i/>
          <w:iCs/>
        </w:rPr>
        <w:t>Household Integrated Economic Survey 2015-16</w:t>
      </w:r>
      <w:r>
        <w:t>. Islamabad: PBS.</w:t>
      </w:r>
    </w:p>
    <w:p w14:paraId="0564D769" w14:textId="77777777" w:rsidR="00540C1D" w:rsidRDefault="00000000">
      <w:pPr>
        <w:pStyle w:val="BodyText"/>
        <w:spacing w:after="120"/>
      </w:pPr>
      <w:r>
        <w:t xml:space="preserve">Sánchez, M. V. (2011). Welfare effects of rising oil prices in oil-importing developing countries. </w:t>
      </w:r>
      <w:r>
        <w:rPr>
          <w:i/>
          <w:iCs/>
        </w:rPr>
        <w:t>The Developing Economies</w:t>
      </w:r>
      <w:r>
        <w:t>, 49(3), 321–346.</w:t>
      </w:r>
    </w:p>
    <w:p w14:paraId="08A88E72" w14:textId="77777777" w:rsidR="00540C1D" w:rsidRDefault="00000000">
      <w:pPr>
        <w:pStyle w:val="BodyText"/>
        <w:spacing w:after="120"/>
      </w:pPr>
      <w:r>
        <w:lastRenderedPageBreak/>
        <w:t xml:space="preserve">Siddig, K., Aguiar, A., Grethe, H., Minor, P., &amp; Walmsley, T. (2014). Impacts of removing fuel import subsidies in Nigeria on poverty. </w:t>
      </w:r>
      <w:r>
        <w:rPr>
          <w:i/>
          <w:iCs/>
        </w:rPr>
        <w:t>Energy Policy</w:t>
      </w:r>
      <w:r>
        <w:t>, 69, 165–178. https://doi.org/10.1016/j.enpol.2014.02.006</w:t>
      </w:r>
    </w:p>
    <w:p w14:paraId="456D60D7" w14:textId="77777777" w:rsidR="00540C1D" w:rsidRDefault="00000000">
      <w:pPr>
        <w:pStyle w:val="BodyText"/>
        <w:spacing w:after="120"/>
      </w:pPr>
      <w:r>
        <w:t xml:space="preserve">State Bank of Pakistan. (2016). </w:t>
      </w:r>
      <w:r>
        <w:rPr>
          <w:i/>
          <w:iCs/>
        </w:rPr>
        <w:t>Balance of payments review FY16</w:t>
      </w:r>
      <w:r>
        <w:t>. Karachi: SBP. https://www.sbp.org.pk/publications/bop/BOPFY16/Review.pdf</w:t>
      </w:r>
    </w:p>
    <w:p w14:paraId="1028DF24" w14:textId="77777777" w:rsidR="00540C1D" w:rsidRDefault="00000000">
      <w:pPr>
        <w:pStyle w:val="BodyText"/>
        <w:spacing w:after="120"/>
      </w:pPr>
      <w:r>
        <w:t>The News. (2026, March 30). Oil price shock threatens Pakistan economy as global tensions escalate. https://www.thenews.pk/print/1407176-oil-price-shock-threatens-pakistan-economy-as-global-tensions-escalate</w:t>
      </w:r>
    </w:p>
    <w:p w14:paraId="0B05230D" w14:textId="77777777" w:rsidR="00540C1D" w:rsidRDefault="00000000">
      <w:pPr>
        <w:pStyle w:val="BodyText"/>
        <w:spacing w:after="120"/>
      </w:pPr>
      <w:r>
        <w:t xml:space="preserve">Timilsina, G. R. (2015). Oil prices and the global economy: A general equilibrium analysis. </w:t>
      </w:r>
      <w:r>
        <w:rPr>
          <w:i/>
          <w:iCs/>
        </w:rPr>
        <w:t>Energy Economics</w:t>
      </w:r>
      <w:r>
        <w:t>. https://www.sciencedirect.com/science/article/abs/pii/S0140988315000961</w:t>
      </w:r>
      <w:bookmarkEnd w:id="48"/>
    </w:p>
    <w:sectPr w:rsidR="00540C1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906B5" w14:textId="77777777" w:rsidR="007F5BA8" w:rsidRDefault="007F5BA8">
      <w:pPr>
        <w:spacing w:after="0"/>
      </w:pPr>
      <w:r>
        <w:separator/>
      </w:r>
    </w:p>
  </w:endnote>
  <w:endnote w:type="continuationSeparator" w:id="0">
    <w:p w14:paraId="751B0E61" w14:textId="77777777" w:rsidR="007F5BA8" w:rsidRDefault="007F5B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D1E2" w14:textId="77777777" w:rsidR="007F5BA8" w:rsidRDefault="007F5BA8">
      <w:r>
        <w:separator/>
      </w:r>
    </w:p>
  </w:footnote>
  <w:footnote w:type="continuationSeparator" w:id="0">
    <w:p w14:paraId="48784E3B" w14:textId="77777777" w:rsidR="007F5BA8" w:rsidRDefault="007F5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9053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D1C612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DD6031B"/>
    <w:multiLevelType w:val="hybridMultilevel"/>
    <w:tmpl w:val="C86A21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D44F1B"/>
    <w:multiLevelType w:val="hybridMultilevel"/>
    <w:tmpl w:val="E2F69B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E5604C"/>
    <w:multiLevelType w:val="hybridMultilevel"/>
    <w:tmpl w:val="41A235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558828992">
    <w:abstractNumId w:val="0"/>
  </w:num>
  <w:num w:numId="2" w16cid:durableId="686637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1526877">
    <w:abstractNumId w:val="2"/>
  </w:num>
  <w:num w:numId="4" w16cid:durableId="890731240">
    <w:abstractNumId w:val="3"/>
  </w:num>
  <w:num w:numId="5" w16cid:durableId="1512992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0C1D"/>
    <w:rsid w:val="00015800"/>
    <w:rsid w:val="000E195E"/>
    <w:rsid w:val="00166513"/>
    <w:rsid w:val="001A089F"/>
    <w:rsid w:val="001D0980"/>
    <w:rsid w:val="001E54BA"/>
    <w:rsid w:val="001F57FF"/>
    <w:rsid w:val="00225E8D"/>
    <w:rsid w:val="00230789"/>
    <w:rsid w:val="0024622F"/>
    <w:rsid w:val="00265928"/>
    <w:rsid w:val="00337148"/>
    <w:rsid w:val="00390622"/>
    <w:rsid w:val="00540C1D"/>
    <w:rsid w:val="005920A8"/>
    <w:rsid w:val="005D1E09"/>
    <w:rsid w:val="00697ADA"/>
    <w:rsid w:val="007E0DA9"/>
    <w:rsid w:val="007F5BA8"/>
    <w:rsid w:val="008423E2"/>
    <w:rsid w:val="00880168"/>
    <w:rsid w:val="009A0E4E"/>
    <w:rsid w:val="00B4259F"/>
    <w:rsid w:val="00B655BC"/>
    <w:rsid w:val="00F73A9F"/>
    <w:rsid w:val="00FA3D3D"/>
    <w:rsid w:val="00FF57B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682C"/>
  <w15:docId w15:val="{F4E5C8B5-FA83-4C3A-8E7F-CC1516AC4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0000"/>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2"/>
      <w:szCs w:val="36"/>
    </w:rPr>
  </w:style>
  <w:style w:type="paragraph" w:styleId="Subtitle">
    <w:name w:val="Subtitle"/>
    <w:basedOn w:val="Title"/>
    <w:next w:val="BodyText"/>
    <w:qFormat/>
    <w:pPr>
      <w:spacing w:before="240"/>
    </w:pPr>
    <w:rPr>
      <w:rFonts w:ascii="Times New Roman" w:eastAsia="Times New Roman" w:hAnsi="Times New Roman" w:cs="Times New Roman"/>
      <w:sz w:val="30"/>
      <w:szCs w:val="30"/>
    </w:rPr>
  </w:style>
  <w:style w:type="paragraph" w:customStyle="1" w:styleId="Author">
    <w:name w:val="Author"/>
    <w:next w:val="BodyText"/>
    <w:qFormat/>
    <w:pPr>
      <w:keepNext/>
      <w:keepLines/>
      <w:jc w:val="center"/>
    </w:pPr>
    <w:rPr>
      <w:rFonts w:ascii="Times New Roman" w:eastAsia="Times New Roman" w:hAnsi="Times New Roman" w:cs="Times New Roman"/>
    </w:rPr>
  </w:style>
  <w:style w:type="paragraph" w:styleId="Date">
    <w:name w:val="Date"/>
    <w:next w:val="BodyText"/>
    <w:qFormat/>
    <w:pPr>
      <w:keepNext/>
      <w:keepLines/>
      <w:jc w:val="center"/>
    </w:pPr>
    <w:rPr>
      <w:rFonts w:ascii="Times New Roman" w:eastAsia="Times New Roman" w:hAnsi="Times New Roman" w:cs="Times New Roman"/>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20</Pages>
  <Words>5512</Words>
  <Characters>31419</Characters>
  <Application>Microsoft Office Word</Application>
  <DocSecurity>0</DocSecurity>
  <Lines>261</Lines>
  <Paragraphs>73</Paragraphs>
  <ScaleCrop>false</ScaleCrop>
  <Company/>
  <LinksUpToDate>false</LinksUpToDate>
  <CharactersWithSpaces>36858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Shocks in an Import-Dependent Economy: A CGE Assessment of a Strait of Hormuz Disruption for Pakistan</dc:title>
  <dc:creator>Zulfiqar Ali Mir, Black Iron Quantum AI (Pvt.) Ltd., NIC Islamabad</dc:creator>
  <cp:keywords/>
  <cp:lastModifiedBy>zulfiqar.ali.mir@blackirontimes.com</cp:lastModifiedBy>
  <cp:revision>17</cp:revision>
  <dcterms:created xsi:type="dcterms:W3CDTF">2026-09-25T04:12:00Z</dcterms:created>
  <dcterms:modified xsi:type="dcterms:W3CDTF">2026-09-25T07:59:00Z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ies>
</file>