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t xml:space="preserve">AI, Data Science &amp; Functional (Training / Certifications / Executive Programs)</w:t>
      </w:r>
    </w:p>
    <w:p>
      <w:pPr>
        <w:spacing w:after="320"/>
        <w:jc w:val="center"/>
      </w:pPr>
      <w:r>
        <w:rPr>
          <w:i/>
          <w:iCs/>
          <w:color w:val="4B5563"/>
          <w:sz w:val="20"/>
          <w:szCs w:val="20"/>
        </w:rPr>
        <w:t xml:space="preserve">Submitted by Black Iron Quantum AI (Private) Limited, Islamabad, Pakistan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Scope of Work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1.1 Supplier Skillset and Experience</w:t>
      </w:r>
    </w:p>
    <w:p>
      <w:pPr>
        <w:spacing w:after="160"/>
      </w:pPr>
      <w:r>
        <w:rPr>
          <w:color w:val="1F2937"/>
          <w:sz w:val="20"/>
          <w:szCs w:val="20"/>
        </w:rPr>
        <w:t xml:space="preserve">Black Iron Quantum AI (Private) Limited possesses direct, verifiable skillset and delivery experience in providing AI, Data Science, and technical/functional training — spanning digital products, technical software and tools, coding languages, AI, big data, machine learning, data analytics, data science, data mining, cybersecurity, and data governance — to audiences at senior leadership, middle management, and individual-contributor levels. This experience is anchored in the credentials of the firm's Founder and Chairman, Zulfiqar Ali Mir (Ph.D. Econometrics), summarised below.</w:t>
      </w:r>
    </w:p>
    <w:p>
      <w:pPr>
        <w:pStyle w:val="Heading3"/>
        <w:spacing w:after="100" w:before="200"/>
      </w:pPr>
      <w:r>
        <w:rPr>
          <w:b/>
          <w:bCs/>
          <w:color w:val="2E5395"/>
          <w:sz w:val="20"/>
          <w:szCs w:val="20"/>
        </w:rPr>
        <w:t xml:space="preserve">Table: Lead Trainer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Zulfiqar Ali Mir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Qualification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Ph.D., Econometrics; M.Phil., Economics &amp; Finance; MBA, HRM; Management Accountant (ICMAP).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Current Roles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Founder &amp; Chairman, Black Iron Quantum AI (Private) Limited; Research Analyst / LLM Trainer, USA — clients include Apple, Meta, and Anthropic; Research Fellow, Social Policy Resource Center (SPRC)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Recognitions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National AI FinTech Winner 2025 (National Technology Fund / ADB); HEC–NCEAC Generative AI Instructor, Mentor &amp; Judge (Cohort 2, 2026); Section Leader - Python for Stanford University USA.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5395"/>
          <w:sz w:val="20"/>
          <w:szCs w:val="20"/>
        </w:rPr>
        <w:t xml:space="preserve">Evidence of Delivery — Corporate, Institutional &amp; Executive Training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Turing (Palo Alto, California) — RLHF and Supervised Fine-Tuning (SFT) of frontier AI models in advanced mathematics; structured AI-output evaluation and model-behaviour shaping for enterprise clients (Sept 2024–Present).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Higher Education Commission (HEC) Pakistan &amp; NCEAC — Instructor, Mentor and Judge, Generative AI Training Cohort 2 (Jan–Feb 2026).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Pakistan Engineering Council (PEC) — Mentor and Instructor, Generative AI Training (Dec 2024–Jan 2025), engineering-professional audience.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Education Group, Karachi — Trainer, Advanced RAG for corporate/technical learners: naive vs. production-grade RAG, hybrid search, query expansion, HyDE, reranking, RAGAS evaluation, and LangSmith observability (2026).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Stanford University (Remote) — Section Leader, Python Programming (May–June 2025).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COMSATS University — Instructor, Python for Mathematicians (Oct 2024).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Pak Angels (San Jose) — Mentor and Judge, Essential Generative AI Training (Aug–Sept 2024).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Virtual Platform (San Jose) — Teacher/Trainer across Python, Machine Learning and Data Analysis (June 2024–Present); recorded modules include Neural Networks from Scratch, ML Privacy Implications, and Advanced Data Analysis with Python.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McKinsey &amp; Company — McKinsey Forward Program (Dec 2024): problem-solving, leadership and digital-transformation skills applicable to senior-leadership curriculum design.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Governance and compliance grounding: Research Fellow at SPRC applying econometric methods to public-finance and governance evaluation.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Direct hands-on delivery of Accounting ERP, GL/AR/AP, and audit-anomaly-detection systems (AuditIQ AI) that inform data-governance and controls-focused training content.</w:t>
      </w:r>
    </w:p>
    <w:p>
      <w:pPr>
        <w:pStyle w:val="Heading3"/>
        <w:spacing w:after="100" w:before="200"/>
      </w:pPr>
      <w:r>
        <w:rPr>
          <w:b/>
          <w:bCs/>
          <w:color w:val="2E5395"/>
          <w:sz w:val="20"/>
          <w:szCs w:val="20"/>
        </w:rPr>
        <w:t xml:space="preserve">Table: Technical Breadth Underpinning Curriculum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Demonstrated Coverage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Programming &amp; Coding Languages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Python (Advanced), R, TypeScript, JavaScript, SQL, MATLAB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AI / Machine Learning / Deep Learning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LangChain, LangGraph, CrewAI, OpenAI Agents SDK, PyTorch (fine-tuning), NLP, RLHF/SFT, RAG architectures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Big Data &amp; Data Science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Apache Spark, Neo4j, pgvector, Jupyter, pandas, ggplot2, applied data-science case studies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Data Analytics &amp; Visualisation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Power BI, Tableau, Looker Studio, EViews, STATA, SPSS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Cloud &amp; MLOps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Azure (AI Fundamentals, ML, Computer Vision), AWS, Google Cloud (ADK, Generative AI Studio), MLOps practices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Cybersecurity Awareness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Cybersecurity &amp; Cybersecurity Awareness training; secure, auditable agent-tooling design (zam-webtool)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Data Governance &amp; Controls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Row-Level Security data architectures, audit-log/approval-workflow systems, GL anomaly detection (Benford's Law, z-score outlier detection)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Product &amp; Project Management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SaaS product architecture and delivery (multiple platforms shipped end-to-end); MS Project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1.2 List of Training Programs / Certifications</w:t>
      </w:r>
    </w:p>
    <w:p>
      <w:pPr>
        <w:spacing w:after="160"/>
      </w:pPr>
      <w:r>
        <w:rPr>
          <w:color w:val="1F2937"/>
          <w:sz w:val="20"/>
          <w:szCs w:val="20"/>
        </w:rPr>
        <w:t xml:space="preserve">The following curriculum is proposed across three audience tiers — Senior Leadership, Middle Managers, and Individual Contributors — covering Technical/Digital Skills and Governance, per the scope of work. Formats can be delivered as instructor-led workshops, cohort-based programs, or blended executive sessions, and can be mapped to recognised third-party certification pathways where indicated.</w:t>
      </w:r>
    </w:p>
    <w:p>
      <w:pPr>
        <w:pStyle w:val="Heading3"/>
        <w:spacing w:after="100" w:before="200"/>
      </w:pPr>
      <w:r>
        <w:rPr>
          <w:b/>
          <w:bCs/>
          <w:color w:val="2E5395"/>
          <w:sz w:val="20"/>
          <w:szCs w:val="20"/>
        </w:rPr>
        <w:t xml:space="preserve">Table A: Senior Leadership Programs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 Areas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Format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AI &amp; Generative AI Strategy for Executives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Enterprise AI adoption roadmaps, build-vs-buy, ROI framing, LLM capability landscape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1–2-day executive workshop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AI Governance, Risk &amp; Responsible AI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AI risk frameworks, model governance, regulatory landscape, ethics-by-design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1 day seminar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Data-Driven Decision Making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Interpreting dashboards/BI, KPI design, data literacy for non-technical leaders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1 day workshop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Digital Transformation Leadership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Change management, digital operating models, cross-functional AI enablement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2-day program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5395"/>
          <w:sz w:val="20"/>
          <w:szCs w:val="20"/>
        </w:rPr>
        <w:t xml:space="preserve">Table B: Middle Management Programs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 Areas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Format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Applied Data Analytics for Managers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Power BI / Tableau, KPI dashboards, data storytelling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3–5-day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AI-Enabled Product &amp; Project Management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Agile delivery with AI tooling, prompt-based workflow design, vendor evaluation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3-day workshop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Data Governance &amp; Compliance Essentials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Data quality, access controls, audit trails, policy design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2-day workshop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Cybersecurity Awareness for Managers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Threat landscape, secure data handling, incident escalation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1 day workshop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FP&amp;A and Financial Reporting Automation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Dashboarding, reconciliation automation, forecasting basics for managers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2-day workshop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5395"/>
          <w:sz w:val="20"/>
          <w:szCs w:val="20"/>
        </w:rPr>
        <w:t xml:space="preserve">Table C: Individual Contributor / Technical Programs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 Areas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Format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Python for Data Science &amp; AI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Core Python, pandas, NumPy, data wrangling, visualisation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4–6-week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Machine Learning &amp; Deep Learning Foundations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Supervised/unsupervised ML, neural networks, PyTorch fundamentals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6–8-week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Generative AI &amp; LLM Engineering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Prompt engineering, RAG (naive to production-grade), fine-tuning, evaluation (RAGAS)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4-week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Agentic AI Systems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LangChain, LangGraph, CrewAI, OpenAI Agents SDK, multi-agent orchestration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4-week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SQL, Databases &amp; Big Data Tooling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SQL, relational design, Apache Spark, graph databases (Neo4j)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3–4-week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Data Analysis &amp; Visualisation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Power BI, Tableau, ggplot2, statistical analysis (SPSS/EViews/STATA)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3-week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Cloud &amp; MLOps Fundamentals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Azure/AWS/Google Cloud AI services, deployment pipelines, MLOps basics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3-week cohort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Cybersecurity Fundamentals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Secure coding practices, data protection, cyber hygiene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1–2-week module</w:t>
            </w:r>
          </w:p>
        </w:tc>
      </w:tr>
      <w:tr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Data Structures &amp; Algorithms / Coding Proficiency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DSA in Python, problem solving, coding interview readiness</w:t>
            </w:r>
          </w:p>
        </w:tc>
        <w:tc>
          <w:tcPr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F2937"/>
                <w:sz w:val="18"/>
                <w:szCs w:val="18"/>
              </w:rPr>
              <w:t xml:space="preserve">4–6-week cohort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5395"/>
          <w:sz w:val="20"/>
          <w:szCs w:val="20"/>
        </w:rPr>
        <w:t xml:space="preserve">D. Third-Party Certification Pathways (Facilitated / Proctored)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Microsoft Azure AI Fundamentals; Azure AI Services (Machine Learning, Computer Vision)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Google Cloud Generative AI Studio / Google Cloud Skills Boost tracks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DeepLearning.AI specialisations (Generative AI for Everyone, Multi-Agent Systems, LLM Inference)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IBM Data Science / Big Data 101 / SQL &amp; Relational Databases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Neo4j Graph Academy — Graph Data Fundamentals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B5563"/>
          <w:sz w:val="19"/>
          <w:szCs w:val="19"/>
        </w:rPr>
        <w:t xml:space="preserve">Coursera / University-partnered programs (e.g., stock/financial-index and quantitative modelling tracks)</w:t>
      </w:r>
    </w:p>
    <w:p>
      <w:pPr>
        <w:spacing w:before="240"/>
      </w:pPr>
      <w:r>
        <w:rPr>
          <w:i/>
          <w:iCs/>
          <w:color w:val="4B5563"/>
          <w:sz w:val="18"/>
          <w:szCs w:val="18"/>
        </w:rPr>
        <w:t xml:space="preserve">The programs above can be customised in duration, sequencing, and depth to the client's specific competency framework and delivered on-site, remotely, or in blended cohort format.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jc w:val="center"/>
    </w:pPr>
    <w:r>
      <w:rPr>
        <w:b/>
        <w:bCs/>
        <w:color w:val="4B5563"/>
        <w:sz w:val="16"/>
        <w:szCs w:val="16"/>
      </w:rPr>
      <w:t xml:space="preserve">Black Iron Quantum AI (Private) Limited — Supplier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2026-08-13T06:00:00.154Z</dcterms:created>
  <dcterms:modified xsi:type="dcterms:W3CDTF">2026-08-13T06:00:00.155Z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