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23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afus aljds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