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9396A" w14:textId="77777777" w:rsidR="00F62033" w:rsidRDefault="00000000">
      <w:pPr>
        <w:spacing w:after="80"/>
      </w:pPr>
      <w:r>
        <w:rPr>
          <w:b/>
          <w:bCs/>
          <w:color w:val="0E7C7B"/>
          <w:sz w:val="22"/>
          <w:szCs w:val="22"/>
        </w:rPr>
        <w:t>REFERENCE ARCHITECTURE — v1.0</w:t>
      </w:r>
    </w:p>
    <w:p w14:paraId="5D3C5C67" w14:textId="77777777" w:rsidR="00F62033" w:rsidRDefault="00000000">
      <w:pPr>
        <w:spacing w:after="160"/>
      </w:pPr>
      <w:r>
        <w:rPr>
          <w:b/>
          <w:bCs/>
          <w:color w:val="1E2761"/>
          <w:sz w:val="40"/>
          <w:szCs w:val="40"/>
        </w:rPr>
        <w:t>Agentic Engineering Platform</w:t>
      </w:r>
    </w:p>
    <w:p w14:paraId="6FB1C91C" w14:textId="77777777" w:rsidR="00F62033" w:rsidRDefault="00000000">
      <w:pPr>
        <w:spacing w:after="360"/>
      </w:pPr>
      <w:r>
        <w:rPr>
          <w:i/>
          <w:iCs/>
          <w:color w:val="5B6478"/>
        </w:rPr>
        <w:t>A vendor-neutral, reusable blueprint for multi-agent software engineering — Greenfield and Brownfield, built to scale to thousands of engineers</w:t>
      </w:r>
    </w:p>
    <w:p w14:paraId="127D3461" w14:textId="77777777" w:rsidR="00F62033" w:rsidRDefault="00000000">
      <w:pPr>
        <w:spacing w:after="60" w:line="290" w:lineRule="auto"/>
      </w:pPr>
      <w:r>
        <w:rPr>
          <w:color w:val="000000"/>
          <w:sz w:val="19"/>
          <w:szCs w:val="19"/>
        </w:rPr>
        <w:t>Companion to: Agentic SDLC Advisory Roadmap (</w:t>
      </w:r>
      <w:proofErr w:type="spellStart"/>
      <w:r>
        <w:rPr>
          <w:color w:val="000000"/>
          <w:sz w:val="19"/>
          <w:szCs w:val="19"/>
        </w:rPr>
        <w:t>SystemC</w:t>
      </w:r>
      <w:proofErr w:type="spellEnd"/>
      <w:r>
        <w:rPr>
          <w:color w:val="000000"/>
          <w:sz w:val="19"/>
          <w:szCs w:val="19"/>
        </w:rPr>
        <w:t xml:space="preserve"> engagement)</w:t>
      </w:r>
    </w:p>
    <w:p w14:paraId="684F34CB" w14:textId="77777777" w:rsidR="00F62033" w:rsidRDefault="00000000">
      <w:pPr>
        <w:spacing w:after="60" w:line="290" w:lineRule="auto"/>
      </w:pPr>
      <w:r>
        <w:rPr>
          <w:color w:val="000000"/>
          <w:sz w:val="19"/>
          <w:szCs w:val="19"/>
        </w:rPr>
        <w:t>Audience: Platform engineers, solution architects, CTOs evaluating build-vs-buy</w:t>
      </w:r>
    </w:p>
    <w:p w14:paraId="41A93B7E" w14:textId="77777777" w:rsidR="00F62033" w:rsidRDefault="00000000">
      <w:pPr>
        <w:spacing w:after="280" w:line="290" w:lineRule="auto"/>
      </w:pPr>
      <w:r>
        <w:rPr>
          <w:color w:val="000000"/>
          <w:sz w:val="19"/>
          <w:szCs w:val="19"/>
        </w:rPr>
        <w:t>Date: 27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2033" w14:paraId="29D91BFE" w14:textId="77777777">
        <w:tblPrEx>
          <w:tblCellMar>
            <w:top w:w="0" w:type="dxa"/>
            <w:bottom w:w="0" w:type="dxa"/>
          </w:tblCellMar>
        </w:tblPrEx>
        <w:tc>
          <w:tcPr>
            <w:tcW w:w="0" w:type="auto"/>
            <w:tcBorders>
              <w:top w:val="single" w:sz="4" w:space="0" w:color="0E7C7B"/>
              <w:left w:val="single" w:sz="24" w:space="0" w:color="0E7C7B"/>
              <w:bottom w:val="single" w:sz="4" w:space="0" w:color="0E7C7B"/>
              <w:right w:val="single" w:sz="4" w:space="0" w:color="0E7C7B"/>
            </w:tcBorders>
            <w:shd w:val="clear" w:color="auto" w:fill="FAFAFA"/>
            <w:tcMar>
              <w:top w:w="140" w:type="dxa"/>
              <w:left w:w="180" w:type="dxa"/>
              <w:bottom w:w="140" w:type="dxa"/>
              <w:right w:w="180" w:type="dxa"/>
            </w:tcMar>
          </w:tcPr>
          <w:p w14:paraId="145C3242" w14:textId="77777777" w:rsidR="00F62033" w:rsidRDefault="00000000">
            <w:pPr>
              <w:spacing w:after="60"/>
            </w:pPr>
            <w:r>
              <w:rPr>
                <w:b/>
                <w:bCs/>
                <w:color w:val="0E7C7B"/>
              </w:rPr>
              <w:t>Why this document exists, separately from the roadmap</w:t>
            </w:r>
          </w:p>
          <w:p w14:paraId="3000CD84" w14:textId="77777777" w:rsidR="00F62033" w:rsidRDefault="00000000">
            <w:r>
              <w:rPr>
                <w:color w:val="333333"/>
                <w:sz w:val="20"/>
                <w:szCs w:val="20"/>
              </w:rPr>
              <w:t xml:space="preserve">The roadmap answers “what order should </w:t>
            </w:r>
            <w:proofErr w:type="spellStart"/>
            <w:r>
              <w:rPr>
                <w:color w:val="333333"/>
                <w:sz w:val="20"/>
                <w:szCs w:val="20"/>
              </w:rPr>
              <w:t>SystemC</w:t>
            </w:r>
            <w:proofErr w:type="spellEnd"/>
            <w:r>
              <w:rPr>
                <w:color w:val="333333"/>
                <w:sz w:val="20"/>
                <w:szCs w:val="20"/>
              </w:rPr>
              <w:t xml:space="preserve"> adopt agentic engineering in.” This document answers a different question: “what does the platform underneath that adoption actually look like, precisely enough to build or evaluate it.” It is written to be reusable beyond any single client — the patterns here hold whether the consuming organisation has 100 engineers or 10,000.</w:t>
            </w:r>
          </w:p>
        </w:tc>
      </w:tr>
    </w:tbl>
    <w:p w14:paraId="0913AD5A" w14:textId="77777777" w:rsidR="00F62033" w:rsidRDefault="00F62033">
      <w:pPr>
        <w:spacing w:after="140"/>
      </w:pPr>
    </w:p>
    <w:p w14:paraId="52EE1383" w14:textId="77777777" w:rsidR="00F62033" w:rsidRDefault="00000000">
      <w:pPr>
        <w:pStyle w:val="Heading1"/>
        <w:pageBreakBefore/>
      </w:pPr>
      <w:bookmarkStart w:id="0" w:name="_Toc233489521"/>
      <w:r>
        <w:lastRenderedPageBreak/>
        <w:t>Contents</w:t>
      </w:r>
      <w:bookmarkEnd w:id="0"/>
    </w:p>
    <w:sdt>
      <w:sdtPr>
        <w:alias w:val="Contents"/>
        <w:id w:val="-78213872"/>
      </w:sdtPr>
      <w:sdtContent>
        <w:p w14:paraId="126F5CD0" w14:textId="77777777" w:rsidR="007E50B3" w:rsidRDefault="00000000">
          <w:pPr>
            <w:pStyle w:val="TOC1"/>
            <w:tabs>
              <w:tab w:val="right" w:leader="dot" w:pos="10030"/>
            </w:tabs>
            <w:rPr>
              <w:noProof/>
            </w:rPr>
          </w:pPr>
          <w:r>
            <w:fldChar w:fldCharType="begin"/>
          </w:r>
          <w:r>
            <w:instrText>TOC \h \o "1-2"</w:instrText>
          </w:r>
          <w:r>
            <w:fldChar w:fldCharType="separate"/>
          </w:r>
          <w:hyperlink w:anchor="_Toc233489521" w:history="1">
            <w:r w:rsidR="007E50B3" w:rsidRPr="00D5423D">
              <w:rPr>
                <w:rStyle w:val="Hyperlink"/>
                <w:noProof/>
              </w:rPr>
              <w:t>Contents</w:t>
            </w:r>
            <w:r w:rsidR="007E50B3">
              <w:rPr>
                <w:noProof/>
              </w:rPr>
              <w:tab/>
            </w:r>
            <w:r w:rsidR="007E50B3">
              <w:rPr>
                <w:noProof/>
              </w:rPr>
              <w:fldChar w:fldCharType="begin"/>
            </w:r>
            <w:r w:rsidR="007E50B3">
              <w:rPr>
                <w:noProof/>
              </w:rPr>
              <w:instrText xml:space="preserve"> PAGEREF _Toc233489521 \h </w:instrText>
            </w:r>
            <w:r w:rsidR="007E50B3">
              <w:rPr>
                <w:noProof/>
              </w:rPr>
            </w:r>
            <w:r w:rsidR="007E50B3">
              <w:rPr>
                <w:noProof/>
              </w:rPr>
              <w:fldChar w:fldCharType="separate"/>
            </w:r>
            <w:r w:rsidR="007E50B3">
              <w:rPr>
                <w:noProof/>
              </w:rPr>
              <w:t>2</w:t>
            </w:r>
            <w:r w:rsidR="007E50B3">
              <w:rPr>
                <w:noProof/>
              </w:rPr>
              <w:fldChar w:fldCharType="end"/>
            </w:r>
          </w:hyperlink>
        </w:p>
        <w:p w14:paraId="55485155" w14:textId="77777777" w:rsidR="007E50B3" w:rsidRDefault="007E50B3">
          <w:pPr>
            <w:pStyle w:val="TOC1"/>
            <w:tabs>
              <w:tab w:val="right" w:leader="dot" w:pos="10030"/>
            </w:tabs>
            <w:rPr>
              <w:noProof/>
            </w:rPr>
          </w:pPr>
          <w:hyperlink w:anchor="_Toc233489522" w:history="1">
            <w:r w:rsidRPr="00D5423D">
              <w:rPr>
                <w:rStyle w:val="Hyperlink"/>
                <w:noProof/>
              </w:rPr>
              <w:t>1. Architecture Principles</w:t>
            </w:r>
            <w:r>
              <w:rPr>
                <w:noProof/>
              </w:rPr>
              <w:tab/>
            </w:r>
            <w:r>
              <w:rPr>
                <w:noProof/>
              </w:rPr>
              <w:fldChar w:fldCharType="begin"/>
            </w:r>
            <w:r>
              <w:rPr>
                <w:noProof/>
              </w:rPr>
              <w:instrText xml:space="preserve"> PAGEREF _Toc233489522 \h </w:instrText>
            </w:r>
            <w:r>
              <w:rPr>
                <w:noProof/>
              </w:rPr>
            </w:r>
            <w:r>
              <w:rPr>
                <w:noProof/>
              </w:rPr>
              <w:fldChar w:fldCharType="separate"/>
            </w:r>
            <w:r>
              <w:rPr>
                <w:noProof/>
              </w:rPr>
              <w:t>3</w:t>
            </w:r>
            <w:r>
              <w:rPr>
                <w:noProof/>
              </w:rPr>
              <w:fldChar w:fldCharType="end"/>
            </w:r>
          </w:hyperlink>
        </w:p>
        <w:p w14:paraId="52650571" w14:textId="77777777" w:rsidR="007E50B3" w:rsidRDefault="007E50B3">
          <w:pPr>
            <w:pStyle w:val="TOC1"/>
            <w:tabs>
              <w:tab w:val="right" w:leader="dot" w:pos="10030"/>
            </w:tabs>
            <w:rPr>
              <w:noProof/>
            </w:rPr>
          </w:pPr>
          <w:hyperlink w:anchor="_Toc233489523" w:history="1">
            <w:r w:rsidRPr="00D5423D">
              <w:rPr>
                <w:rStyle w:val="Hyperlink"/>
                <w:noProof/>
              </w:rPr>
              <w:t>2. System Context (C4 Level 1)</w:t>
            </w:r>
            <w:r>
              <w:rPr>
                <w:noProof/>
              </w:rPr>
              <w:tab/>
            </w:r>
            <w:r>
              <w:rPr>
                <w:noProof/>
              </w:rPr>
              <w:fldChar w:fldCharType="begin"/>
            </w:r>
            <w:r>
              <w:rPr>
                <w:noProof/>
              </w:rPr>
              <w:instrText xml:space="preserve"> PAGEREF _Toc233489523 \h </w:instrText>
            </w:r>
            <w:r>
              <w:rPr>
                <w:noProof/>
              </w:rPr>
            </w:r>
            <w:r>
              <w:rPr>
                <w:noProof/>
              </w:rPr>
              <w:fldChar w:fldCharType="separate"/>
            </w:r>
            <w:r>
              <w:rPr>
                <w:noProof/>
              </w:rPr>
              <w:t>4</w:t>
            </w:r>
            <w:r>
              <w:rPr>
                <w:noProof/>
              </w:rPr>
              <w:fldChar w:fldCharType="end"/>
            </w:r>
          </w:hyperlink>
        </w:p>
        <w:p w14:paraId="088E988B" w14:textId="77777777" w:rsidR="007E50B3" w:rsidRDefault="007E50B3">
          <w:pPr>
            <w:pStyle w:val="TOC1"/>
            <w:tabs>
              <w:tab w:val="right" w:leader="dot" w:pos="10030"/>
            </w:tabs>
            <w:rPr>
              <w:noProof/>
            </w:rPr>
          </w:pPr>
          <w:hyperlink w:anchor="_Toc233489524" w:history="1">
            <w:r w:rsidRPr="00D5423D">
              <w:rPr>
                <w:rStyle w:val="Hyperlink"/>
                <w:noProof/>
              </w:rPr>
              <w:t>3. Containers (C4 Level 2)</w:t>
            </w:r>
            <w:r>
              <w:rPr>
                <w:noProof/>
              </w:rPr>
              <w:tab/>
            </w:r>
            <w:r>
              <w:rPr>
                <w:noProof/>
              </w:rPr>
              <w:fldChar w:fldCharType="begin"/>
            </w:r>
            <w:r>
              <w:rPr>
                <w:noProof/>
              </w:rPr>
              <w:instrText xml:space="preserve"> PAGEREF _Toc233489524 \h </w:instrText>
            </w:r>
            <w:r>
              <w:rPr>
                <w:noProof/>
              </w:rPr>
            </w:r>
            <w:r>
              <w:rPr>
                <w:noProof/>
              </w:rPr>
              <w:fldChar w:fldCharType="separate"/>
            </w:r>
            <w:r>
              <w:rPr>
                <w:noProof/>
              </w:rPr>
              <w:t>5</w:t>
            </w:r>
            <w:r>
              <w:rPr>
                <w:noProof/>
              </w:rPr>
              <w:fldChar w:fldCharType="end"/>
            </w:r>
          </w:hyperlink>
        </w:p>
        <w:p w14:paraId="617ED3D3" w14:textId="77777777" w:rsidR="007E50B3" w:rsidRDefault="007E50B3">
          <w:pPr>
            <w:pStyle w:val="TOC2"/>
            <w:tabs>
              <w:tab w:val="right" w:leader="dot" w:pos="10030"/>
            </w:tabs>
            <w:rPr>
              <w:noProof/>
            </w:rPr>
          </w:pPr>
          <w:hyperlink w:anchor="_Toc233489525" w:history="1">
            <w:r w:rsidRPr="00D5423D">
              <w:rPr>
                <w:rStyle w:val="Hyperlink"/>
                <w:noProof/>
              </w:rPr>
              <w:t>3.1 Why specialist agents never call each other directly</w:t>
            </w:r>
            <w:r>
              <w:rPr>
                <w:noProof/>
              </w:rPr>
              <w:tab/>
            </w:r>
            <w:r>
              <w:rPr>
                <w:noProof/>
              </w:rPr>
              <w:fldChar w:fldCharType="begin"/>
            </w:r>
            <w:r>
              <w:rPr>
                <w:noProof/>
              </w:rPr>
              <w:instrText xml:space="preserve"> PAGEREF _Toc233489525 \h </w:instrText>
            </w:r>
            <w:r>
              <w:rPr>
                <w:noProof/>
              </w:rPr>
            </w:r>
            <w:r>
              <w:rPr>
                <w:noProof/>
              </w:rPr>
              <w:fldChar w:fldCharType="separate"/>
            </w:r>
            <w:r>
              <w:rPr>
                <w:noProof/>
              </w:rPr>
              <w:t>5</w:t>
            </w:r>
            <w:r>
              <w:rPr>
                <w:noProof/>
              </w:rPr>
              <w:fldChar w:fldCharType="end"/>
            </w:r>
          </w:hyperlink>
        </w:p>
        <w:p w14:paraId="599142DB" w14:textId="77777777" w:rsidR="007E50B3" w:rsidRDefault="007E50B3">
          <w:pPr>
            <w:pStyle w:val="TOC1"/>
            <w:tabs>
              <w:tab w:val="right" w:leader="dot" w:pos="10030"/>
            </w:tabs>
            <w:rPr>
              <w:noProof/>
            </w:rPr>
          </w:pPr>
          <w:hyperlink w:anchor="_Toc233489526" w:history="1">
            <w:r w:rsidRPr="00D5423D">
              <w:rPr>
                <w:rStyle w:val="Hyperlink"/>
                <w:noProof/>
              </w:rPr>
              <w:t>4. Components — Inside the Orchestrator (C4 Level 3)</w:t>
            </w:r>
            <w:r>
              <w:rPr>
                <w:noProof/>
              </w:rPr>
              <w:tab/>
            </w:r>
            <w:r>
              <w:rPr>
                <w:noProof/>
              </w:rPr>
              <w:fldChar w:fldCharType="begin"/>
            </w:r>
            <w:r>
              <w:rPr>
                <w:noProof/>
              </w:rPr>
              <w:instrText xml:space="preserve"> PAGEREF _Toc233489526 \h </w:instrText>
            </w:r>
            <w:r>
              <w:rPr>
                <w:noProof/>
              </w:rPr>
            </w:r>
            <w:r>
              <w:rPr>
                <w:noProof/>
              </w:rPr>
              <w:fldChar w:fldCharType="separate"/>
            </w:r>
            <w:r>
              <w:rPr>
                <w:noProof/>
              </w:rPr>
              <w:t>6</w:t>
            </w:r>
            <w:r>
              <w:rPr>
                <w:noProof/>
              </w:rPr>
              <w:fldChar w:fldCharType="end"/>
            </w:r>
          </w:hyperlink>
        </w:p>
        <w:p w14:paraId="34BEB968" w14:textId="77777777" w:rsidR="007E50B3" w:rsidRDefault="007E50B3">
          <w:pPr>
            <w:pStyle w:val="TOC1"/>
            <w:tabs>
              <w:tab w:val="right" w:leader="dot" w:pos="10030"/>
            </w:tabs>
            <w:rPr>
              <w:noProof/>
            </w:rPr>
          </w:pPr>
          <w:hyperlink w:anchor="_Toc233489527" w:history="1">
            <w:r w:rsidRPr="00D5423D">
              <w:rPr>
                <w:rStyle w:val="Hyperlink"/>
                <w:noProof/>
              </w:rPr>
              <w:t>5. Core Platform Concerns</w:t>
            </w:r>
            <w:r>
              <w:rPr>
                <w:noProof/>
              </w:rPr>
              <w:tab/>
            </w:r>
            <w:r>
              <w:rPr>
                <w:noProof/>
              </w:rPr>
              <w:fldChar w:fldCharType="begin"/>
            </w:r>
            <w:r>
              <w:rPr>
                <w:noProof/>
              </w:rPr>
              <w:instrText xml:space="preserve"> PAGEREF _Toc233489527 \h </w:instrText>
            </w:r>
            <w:r>
              <w:rPr>
                <w:noProof/>
              </w:rPr>
            </w:r>
            <w:r>
              <w:rPr>
                <w:noProof/>
              </w:rPr>
              <w:fldChar w:fldCharType="separate"/>
            </w:r>
            <w:r>
              <w:rPr>
                <w:noProof/>
              </w:rPr>
              <w:t>7</w:t>
            </w:r>
            <w:r>
              <w:rPr>
                <w:noProof/>
              </w:rPr>
              <w:fldChar w:fldCharType="end"/>
            </w:r>
          </w:hyperlink>
        </w:p>
        <w:p w14:paraId="13DB8933" w14:textId="77777777" w:rsidR="007E50B3" w:rsidRDefault="007E50B3">
          <w:pPr>
            <w:pStyle w:val="TOC2"/>
            <w:tabs>
              <w:tab w:val="right" w:leader="dot" w:pos="10030"/>
            </w:tabs>
            <w:rPr>
              <w:noProof/>
            </w:rPr>
          </w:pPr>
          <w:hyperlink w:anchor="_Toc233489528" w:history="1">
            <w:r w:rsidRPr="00D5423D">
              <w:rPr>
                <w:rStyle w:val="Hyperlink"/>
                <w:noProof/>
              </w:rPr>
              <w:t>5.1 Agent Registry — dynamic discovery</w:t>
            </w:r>
            <w:r>
              <w:rPr>
                <w:noProof/>
              </w:rPr>
              <w:tab/>
            </w:r>
            <w:r>
              <w:rPr>
                <w:noProof/>
              </w:rPr>
              <w:fldChar w:fldCharType="begin"/>
            </w:r>
            <w:r>
              <w:rPr>
                <w:noProof/>
              </w:rPr>
              <w:instrText xml:space="preserve"> PAGEREF _Toc233489528 \h </w:instrText>
            </w:r>
            <w:r>
              <w:rPr>
                <w:noProof/>
              </w:rPr>
            </w:r>
            <w:r>
              <w:rPr>
                <w:noProof/>
              </w:rPr>
              <w:fldChar w:fldCharType="separate"/>
            </w:r>
            <w:r>
              <w:rPr>
                <w:noProof/>
              </w:rPr>
              <w:t>7</w:t>
            </w:r>
            <w:r>
              <w:rPr>
                <w:noProof/>
              </w:rPr>
              <w:fldChar w:fldCharType="end"/>
            </w:r>
          </w:hyperlink>
        </w:p>
        <w:p w14:paraId="682B28C4" w14:textId="77777777" w:rsidR="007E50B3" w:rsidRDefault="007E50B3">
          <w:pPr>
            <w:pStyle w:val="TOC2"/>
            <w:tabs>
              <w:tab w:val="right" w:leader="dot" w:pos="10030"/>
            </w:tabs>
            <w:rPr>
              <w:noProof/>
            </w:rPr>
          </w:pPr>
          <w:hyperlink w:anchor="_Toc233489529" w:history="1">
            <w:r w:rsidRPr="00D5423D">
              <w:rPr>
                <w:rStyle w:val="Hyperlink"/>
                <w:noProof/>
              </w:rPr>
              <w:t>5.2 Tool Registry — external integrations</w:t>
            </w:r>
            <w:r>
              <w:rPr>
                <w:noProof/>
              </w:rPr>
              <w:tab/>
            </w:r>
            <w:r>
              <w:rPr>
                <w:noProof/>
              </w:rPr>
              <w:fldChar w:fldCharType="begin"/>
            </w:r>
            <w:r>
              <w:rPr>
                <w:noProof/>
              </w:rPr>
              <w:instrText xml:space="preserve"> PAGEREF _Toc233489529 \h </w:instrText>
            </w:r>
            <w:r>
              <w:rPr>
                <w:noProof/>
              </w:rPr>
            </w:r>
            <w:r>
              <w:rPr>
                <w:noProof/>
              </w:rPr>
              <w:fldChar w:fldCharType="separate"/>
            </w:r>
            <w:r>
              <w:rPr>
                <w:noProof/>
              </w:rPr>
              <w:t>7</w:t>
            </w:r>
            <w:r>
              <w:rPr>
                <w:noProof/>
              </w:rPr>
              <w:fldChar w:fldCharType="end"/>
            </w:r>
          </w:hyperlink>
        </w:p>
        <w:p w14:paraId="5AC7CCBB" w14:textId="77777777" w:rsidR="007E50B3" w:rsidRDefault="007E50B3">
          <w:pPr>
            <w:pStyle w:val="TOC2"/>
            <w:tabs>
              <w:tab w:val="right" w:leader="dot" w:pos="10030"/>
            </w:tabs>
            <w:rPr>
              <w:noProof/>
            </w:rPr>
          </w:pPr>
          <w:hyperlink w:anchor="_Toc233489530" w:history="1">
            <w:r w:rsidRPr="00D5423D">
              <w:rPr>
                <w:rStyle w:val="Hyperlink"/>
                <w:noProof/>
              </w:rPr>
              <w:t>5.3 Shared Memory &amp; Project Context</w:t>
            </w:r>
            <w:r>
              <w:rPr>
                <w:noProof/>
              </w:rPr>
              <w:tab/>
            </w:r>
            <w:r>
              <w:rPr>
                <w:noProof/>
              </w:rPr>
              <w:fldChar w:fldCharType="begin"/>
            </w:r>
            <w:r>
              <w:rPr>
                <w:noProof/>
              </w:rPr>
              <w:instrText xml:space="preserve"> PAGEREF _Toc233489530 \h </w:instrText>
            </w:r>
            <w:r>
              <w:rPr>
                <w:noProof/>
              </w:rPr>
            </w:r>
            <w:r>
              <w:rPr>
                <w:noProof/>
              </w:rPr>
              <w:fldChar w:fldCharType="separate"/>
            </w:r>
            <w:r>
              <w:rPr>
                <w:noProof/>
              </w:rPr>
              <w:t>7</w:t>
            </w:r>
            <w:r>
              <w:rPr>
                <w:noProof/>
              </w:rPr>
              <w:fldChar w:fldCharType="end"/>
            </w:r>
          </w:hyperlink>
        </w:p>
        <w:p w14:paraId="3E06007E" w14:textId="77777777" w:rsidR="007E50B3" w:rsidRDefault="007E50B3">
          <w:pPr>
            <w:pStyle w:val="TOC2"/>
            <w:tabs>
              <w:tab w:val="right" w:leader="dot" w:pos="10030"/>
            </w:tabs>
            <w:rPr>
              <w:noProof/>
            </w:rPr>
          </w:pPr>
          <w:hyperlink w:anchor="_Toc233489531" w:history="1">
            <w:r w:rsidRPr="00D5423D">
              <w:rPr>
                <w:rStyle w:val="Hyperlink"/>
                <w:noProof/>
              </w:rPr>
              <w:t>5.4 Event-Driven Communication</w:t>
            </w:r>
            <w:r>
              <w:rPr>
                <w:noProof/>
              </w:rPr>
              <w:tab/>
            </w:r>
            <w:r>
              <w:rPr>
                <w:noProof/>
              </w:rPr>
              <w:fldChar w:fldCharType="begin"/>
            </w:r>
            <w:r>
              <w:rPr>
                <w:noProof/>
              </w:rPr>
              <w:instrText xml:space="preserve"> PAGEREF _Toc233489531 \h </w:instrText>
            </w:r>
            <w:r>
              <w:rPr>
                <w:noProof/>
              </w:rPr>
            </w:r>
            <w:r>
              <w:rPr>
                <w:noProof/>
              </w:rPr>
              <w:fldChar w:fldCharType="separate"/>
            </w:r>
            <w:r>
              <w:rPr>
                <w:noProof/>
              </w:rPr>
              <w:t>7</w:t>
            </w:r>
            <w:r>
              <w:rPr>
                <w:noProof/>
              </w:rPr>
              <w:fldChar w:fldCharType="end"/>
            </w:r>
          </w:hyperlink>
        </w:p>
        <w:p w14:paraId="074DC475" w14:textId="77777777" w:rsidR="007E50B3" w:rsidRDefault="007E50B3">
          <w:pPr>
            <w:pStyle w:val="TOC2"/>
            <w:tabs>
              <w:tab w:val="right" w:leader="dot" w:pos="10030"/>
            </w:tabs>
            <w:rPr>
              <w:noProof/>
            </w:rPr>
          </w:pPr>
          <w:hyperlink w:anchor="_Toc233489532" w:history="1">
            <w:r w:rsidRPr="00D5423D">
              <w:rPr>
                <w:rStyle w:val="Hyperlink"/>
                <w:noProof/>
              </w:rPr>
              <w:t>5.5 Task Queue &amp; Workflow Engine</w:t>
            </w:r>
            <w:r>
              <w:rPr>
                <w:noProof/>
              </w:rPr>
              <w:tab/>
            </w:r>
            <w:r>
              <w:rPr>
                <w:noProof/>
              </w:rPr>
              <w:fldChar w:fldCharType="begin"/>
            </w:r>
            <w:r>
              <w:rPr>
                <w:noProof/>
              </w:rPr>
              <w:instrText xml:space="preserve"> PAGEREF _Toc233489532 \h </w:instrText>
            </w:r>
            <w:r>
              <w:rPr>
                <w:noProof/>
              </w:rPr>
            </w:r>
            <w:r>
              <w:rPr>
                <w:noProof/>
              </w:rPr>
              <w:fldChar w:fldCharType="separate"/>
            </w:r>
            <w:r>
              <w:rPr>
                <w:noProof/>
              </w:rPr>
              <w:t>7</w:t>
            </w:r>
            <w:r>
              <w:rPr>
                <w:noProof/>
              </w:rPr>
              <w:fldChar w:fldCharType="end"/>
            </w:r>
          </w:hyperlink>
        </w:p>
        <w:p w14:paraId="4D767872" w14:textId="77777777" w:rsidR="007E50B3" w:rsidRDefault="007E50B3">
          <w:pPr>
            <w:pStyle w:val="TOC2"/>
            <w:tabs>
              <w:tab w:val="right" w:leader="dot" w:pos="10030"/>
            </w:tabs>
            <w:rPr>
              <w:noProof/>
            </w:rPr>
          </w:pPr>
          <w:hyperlink w:anchor="_Toc233489533" w:history="1">
            <w:r w:rsidRPr="00D5423D">
              <w:rPr>
                <w:rStyle w:val="Hyperlink"/>
                <w:noProof/>
              </w:rPr>
              <w:t>5.6 Human Approval Checkpoints</w:t>
            </w:r>
            <w:r>
              <w:rPr>
                <w:noProof/>
              </w:rPr>
              <w:tab/>
            </w:r>
            <w:r>
              <w:rPr>
                <w:noProof/>
              </w:rPr>
              <w:fldChar w:fldCharType="begin"/>
            </w:r>
            <w:r>
              <w:rPr>
                <w:noProof/>
              </w:rPr>
              <w:instrText xml:space="preserve"> PAGEREF _Toc233489533 \h </w:instrText>
            </w:r>
            <w:r>
              <w:rPr>
                <w:noProof/>
              </w:rPr>
            </w:r>
            <w:r>
              <w:rPr>
                <w:noProof/>
              </w:rPr>
              <w:fldChar w:fldCharType="separate"/>
            </w:r>
            <w:r>
              <w:rPr>
                <w:noProof/>
              </w:rPr>
              <w:t>7</w:t>
            </w:r>
            <w:r>
              <w:rPr>
                <w:noProof/>
              </w:rPr>
              <w:fldChar w:fldCharType="end"/>
            </w:r>
          </w:hyperlink>
        </w:p>
        <w:p w14:paraId="54F7933E" w14:textId="77777777" w:rsidR="007E50B3" w:rsidRDefault="007E50B3">
          <w:pPr>
            <w:pStyle w:val="TOC2"/>
            <w:tabs>
              <w:tab w:val="right" w:leader="dot" w:pos="10030"/>
            </w:tabs>
            <w:rPr>
              <w:noProof/>
            </w:rPr>
          </w:pPr>
          <w:hyperlink w:anchor="_Toc233489534" w:history="1">
            <w:r w:rsidRPr="00D5423D">
              <w:rPr>
                <w:rStyle w:val="Hyperlink"/>
                <w:noProof/>
              </w:rPr>
              <w:t>5.7 Audit Logs &amp; Explainability</w:t>
            </w:r>
            <w:r>
              <w:rPr>
                <w:noProof/>
              </w:rPr>
              <w:tab/>
            </w:r>
            <w:r>
              <w:rPr>
                <w:noProof/>
              </w:rPr>
              <w:fldChar w:fldCharType="begin"/>
            </w:r>
            <w:r>
              <w:rPr>
                <w:noProof/>
              </w:rPr>
              <w:instrText xml:space="preserve"> PAGEREF _Toc233489534 \h </w:instrText>
            </w:r>
            <w:r>
              <w:rPr>
                <w:noProof/>
              </w:rPr>
            </w:r>
            <w:r>
              <w:rPr>
                <w:noProof/>
              </w:rPr>
              <w:fldChar w:fldCharType="separate"/>
            </w:r>
            <w:r>
              <w:rPr>
                <w:noProof/>
              </w:rPr>
              <w:t>8</w:t>
            </w:r>
            <w:r>
              <w:rPr>
                <w:noProof/>
              </w:rPr>
              <w:fldChar w:fldCharType="end"/>
            </w:r>
          </w:hyperlink>
        </w:p>
        <w:p w14:paraId="38D88598" w14:textId="77777777" w:rsidR="007E50B3" w:rsidRDefault="007E50B3">
          <w:pPr>
            <w:pStyle w:val="TOC2"/>
            <w:tabs>
              <w:tab w:val="right" w:leader="dot" w:pos="10030"/>
            </w:tabs>
            <w:rPr>
              <w:noProof/>
            </w:rPr>
          </w:pPr>
          <w:hyperlink w:anchor="_Toc233489535" w:history="1">
            <w:r w:rsidRPr="00D5423D">
              <w:rPr>
                <w:rStyle w:val="Hyperlink"/>
                <w:noProof/>
              </w:rPr>
              <w:t>5.8 Multi-Tenant Architecture</w:t>
            </w:r>
            <w:r>
              <w:rPr>
                <w:noProof/>
              </w:rPr>
              <w:tab/>
            </w:r>
            <w:r>
              <w:rPr>
                <w:noProof/>
              </w:rPr>
              <w:fldChar w:fldCharType="begin"/>
            </w:r>
            <w:r>
              <w:rPr>
                <w:noProof/>
              </w:rPr>
              <w:instrText xml:space="preserve"> PAGEREF _Toc233489535 \h </w:instrText>
            </w:r>
            <w:r>
              <w:rPr>
                <w:noProof/>
              </w:rPr>
            </w:r>
            <w:r>
              <w:rPr>
                <w:noProof/>
              </w:rPr>
              <w:fldChar w:fldCharType="separate"/>
            </w:r>
            <w:r>
              <w:rPr>
                <w:noProof/>
              </w:rPr>
              <w:t>8</w:t>
            </w:r>
            <w:r>
              <w:rPr>
                <w:noProof/>
              </w:rPr>
              <w:fldChar w:fldCharType="end"/>
            </w:r>
          </w:hyperlink>
        </w:p>
        <w:p w14:paraId="6589EA6A" w14:textId="77777777" w:rsidR="007E50B3" w:rsidRDefault="007E50B3">
          <w:pPr>
            <w:pStyle w:val="TOC2"/>
            <w:tabs>
              <w:tab w:val="right" w:leader="dot" w:pos="10030"/>
            </w:tabs>
            <w:rPr>
              <w:noProof/>
            </w:rPr>
          </w:pPr>
          <w:hyperlink w:anchor="_Toc233489536" w:history="1">
            <w:r w:rsidRPr="00D5423D">
              <w:rPr>
                <w:rStyle w:val="Hyperlink"/>
                <w:noProof/>
              </w:rPr>
              <w:t>5.9 Security, RBAC &amp; Secrets</w:t>
            </w:r>
            <w:r>
              <w:rPr>
                <w:noProof/>
              </w:rPr>
              <w:tab/>
            </w:r>
            <w:r>
              <w:rPr>
                <w:noProof/>
              </w:rPr>
              <w:fldChar w:fldCharType="begin"/>
            </w:r>
            <w:r>
              <w:rPr>
                <w:noProof/>
              </w:rPr>
              <w:instrText xml:space="preserve"> PAGEREF _Toc233489536 \h </w:instrText>
            </w:r>
            <w:r>
              <w:rPr>
                <w:noProof/>
              </w:rPr>
            </w:r>
            <w:r>
              <w:rPr>
                <w:noProof/>
              </w:rPr>
              <w:fldChar w:fldCharType="separate"/>
            </w:r>
            <w:r>
              <w:rPr>
                <w:noProof/>
              </w:rPr>
              <w:t>8</w:t>
            </w:r>
            <w:r>
              <w:rPr>
                <w:noProof/>
              </w:rPr>
              <w:fldChar w:fldCharType="end"/>
            </w:r>
          </w:hyperlink>
        </w:p>
        <w:p w14:paraId="76F2C84F" w14:textId="77777777" w:rsidR="007E50B3" w:rsidRDefault="007E50B3">
          <w:pPr>
            <w:pStyle w:val="TOC2"/>
            <w:tabs>
              <w:tab w:val="right" w:leader="dot" w:pos="10030"/>
            </w:tabs>
            <w:rPr>
              <w:noProof/>
            </w:rPr>
          </w:pPr>
          <w:hyperlink w:anchor="_Toc233489537" w:history="1">
            <w:r w:rsidRPr="00D5423D">
              <w:rPr>
                <w:rStyle w:val="Hyperlink"/>
                <w:noProof/>
              </w:rPr>
              <w:t>5.10 Cost Optimisation &amp; Model Routing</w:t>
            </w:r>
            <w:r>
              <w:rPr>
                <w:noProof/>
              </w:rPr>
              <w:tab/>
            </w:r>
            <w:r>
              <w:rPr>
                <w:noProof/>
              </w:rPr>
              <w:fldChar w:fldCharType="begin"/>
            </w:r>
            <w:r>
              <w:rPr>
                <w:noProof/>
              </w:rPr>
              <w:instrText xml:space="preserve"> PAGEREF _Toc233489537 \h </w:instrText>
            </w:r>
            <w:r>
              <w:rPr>
                <w:noProof/>
              </w:rPr>
            </w:r>
            <w:r>
              <w:rPr>
                <w:noProof/>
              </w:rPr>
              <w:fldChar w:fldCharType="separate"/>
            </w:r>
            <w:r>
              <w:rPr>
                <w:noProof/>
              </w:rPr>
              <w:t>8</w:t>
            </w:r>
            <w:r>
              <w:rPr>
                <w:noProof/>
              </w:rPr>
              <w:fldChar w:fldCharType="end"/>
            </w:r>
          </w:hyperlink>
        </w:p>
        <w:p w14:paraId="5AFB7CCD" w14:textId="77777777" w:rsidR="007E50B3" w:rsidRDefault="007E50B3">
          <w:pPr>
            <w:pStyle w:val="TOC2"/>
            <w:tabs>
              <w:tab w:val="right" w:leader="dot" w:pos="10030"/>
            </w:tabs>
            <w:rPr>
              <w:noProof/>
            </w:rPr>
          </w:pPr>
          <w:hyperlink w:anchor="_Toc233489538" w:history="1">
            <w:r w:rsidRPr="00D5423D">
              <w:rPr>
                <w:rStyle w:val="Hyperlink"/>
                <w:noProof/>
              </w:rPr>
              <w:t>5.11 Failure Recovery &amp; Retry</w:t>
            </w:r>
            <w:r>
              <w:rPr>
                <w:noProof/>
              </w:rPr>
              <w:tab/>
            </w:r>
            <w:r>
              <w:rPr>
                <w:noProof/>
              </w:rPr>
              <w:fldChar w:fldCharType="begin"/>
            </w:r>
            <w:r>
              <w:rPr>
                <w:noProof/>
              </w:rPr>
              <w:instrText xml:space="preserve"> PAGEREF _Toc233489538 \h </w:instrText>
            </w:r>
            <w:r>
              <w:rPr>
                <w:noProof/>
              </w:rPr>
            </w:r>
            <w:r>
              <w:rPr>
                <w:noProof/>
              </w:rPr>
              <w:fldChar w:fldCharType="separate"/>
            </w:r>
            <w:r>
              <w:rPr>
                <w:noProof/>
              </w:rPr>
              <w:t>8</w:t>
            </w:r>
            <w:r>
              <w:rPr>
                <w:noProof/>
              </w:rPr>
              <w:fldChar w:fldCharType="end"/>
            </w:r>
          </w:hyperlink>
        </w:p>
        <w:p w14:paraId="7CEFB948" w14:textId="77777777" w:rsidR="007E50B3" w:rsidRDefault="007E50B3">
          <w:pPr>
            <w:pStyle w:val="TOC2"/>
            <w:tabs>
              <w:tab w:val="right" w:leader="dot" w:pos="10030"/>
            </w:tabs>
            <w:rPr>
              <w:noProof/>
            </w:rPr>
          </w:pPr>
          <w:hyperlink w:anchor="_Toc233489539" w:history="1">
            <w:r w:rsidRPr="00D5423D">
              <w:rPr>
                <w:rStyle w:val="Hyperlink"/>
                <w:noProof/>
              </w:rPr>
              <w:t>5.12 Metrics, Observability &amp; Governance</w:t>
            </w:r>
            <w:r>
              <w:rPr>
                <w:noProof/>
              </w:rPr>
              <w:tab/>
            </w:r>
            <w:r>
              <w:rPr>
                <w:noProof/>
              </w:rPr>
              <w:fldChar w:fldCharType="begin"/>
            </w:r>
            <w:r>
              <w:rPr>
                <w:noProof/>
              </w:rPr>
              <w:instrText xml:space="preserve"> PAGEREF _Toc233489539 \h </w:instrText>
            </w:r>
            <w:r>
              <w:rPr>
                <w:noProof/>
              </w:rPr>
            </w:r>
            <w:r>
              <w:rPr>
                <w:noProof/>
              </w:rPr>
              <w:fldChar w:fldCharType="separate"/>
            </w:r>
            <w:r>
              <w:rPr>
                <w:noProof/>
              </w:rPr>
              <w:t>8</w:t>
            </w:r>
            <w:r>
              <w:rPr>
                <w:noProof/>
              </w:rPr>
              <w:fldChar w:fldCharType="end"/>
            </w:r>
          </w:hyperlink>
        </w:p>
        <w:p w14:paraId="13A4062E" w14:textId="77777777" w:rsidR="007E50B3" w:rsidRDefault="007E50B3">
          <w:pPr>
            <w:pStyle w:val="TOC1"/>
            <w:tabs>
              <w:tab w:val="right" w:leader="dot" w:pos="10030"/>
            </w:tabs>
            <w:rPr>
              <w:noProof/>
            </w:rPr>
          </w:pPr>
          <w:hyperlink w:anchor="_Toc233489540" w:history="1">
            <w:r w:rsidRPr="00D5423D">
              <w:rPr>
                <w:rStyle w:val="Hyperlink"/>
                <w:noProof/>
              </w:rPr>
              <w:t>6. Agent Contract</w:t>
            </w:r>
            <w:r>
              <w:rPr>
                <w:noProof/>
              </w:rPr>
              <w:tab/>
            </w:r>
            <w:r>
              <w:rPr>
                <w:noProof/>
              </w:rPr>
              <w:fldChar w:fldCharType="begin"/>
            </w:r>
            <w:r>
              <w:rPr>
                <w:noProof/>
              </w:rPr>
              <w:instrText xml:space="preserve"> PAGEREF _Toc233489540 \h </w:instrText>
            </w:r>
            <w:r>
              <w:rPr>
                <w:noProof/>
              </w:rPr>
            </w:r>
            <w:r>
              <w:rPr>
                <w:noProof/>
              </w:rPr>
              <w:fldChar w:fldCharType="separate"/>
            </w:r>
            <w:r>
              <w:rPr>
                <w:noProof/>
              </w:rPr>
              <w:t>9</w:t>
            </w:r>
            <w:r>
              <w:rPr>
                <w:noProof/>
              </w:rPr>
              <w:fldChar w:fldCharType="end"/>
            </w:r>
          </w:hyperlink>
        </w:p>
        <w:p w14:paraId="168DD27A" w14:textId="77777777" w:rsidR="007E50B3" w:rsidRDefault="007E50B3">
          <w:pPr>
            <w:pStyle w:val="TOC1"/>
            <w:tabs>
              <w:tab w:val="right" w:leader="dot" w:pos="10030"/>
            </w:tabs>
            <w:rPr>
              <w:noProof/>
            </w:rPr>
          </w:pPr>
          <w:hyperlink w:anchor="_Toc233489541" w:history="1">
            <w:r w:rsidRPr="00D5423D">
              <w:rPr>
                <w:rStyle w:val="Hyperlink"/>
                <w:noProof/>
              </w:rPr>
              <w:t>7. Tool Contract</w:t>
            </w:r>
            <w:r>
              <w:rPr>
                <w:noProof/>
              </w:rPr>
              <w:tab/>
            </w:r>
            <w:r>
              <w:rPr>
                <w:noProof/>
              </w:rPr>
              <w:fldChar w:fldCharType="begin"/>
            </w:r>
            <w:r>
              <w:rPr>
                <w:noProof/>
              </w:rPr>
              <w:instrText xml:space="preserve"> PAGEREF _Toc233489541 \h </w:instrText>
            </w:r>
            <w:r>
              <w:rPr>
                <w:noProof/>
              </w:rPr>
            </w:r>
            <w:r>
              <w:rPr>
                <w:noProof/>
              </w:rPr>
              <w:fldChar w:fldCharType="separate"/>
            </w:r>
            <w:r>
              <w:rPr>
                <w:noProof/>
              </w:rPr>
              <w:t>10</w:t>
            </w:r>
            <w:r>
              <w:rPr>
                <w:noProof/>
              </w:rPr>
              <w:fldChar w:fldCharType="end"/>
            </w:r>
          </w:hyperlink>
        </w:p>
        <w:p w14:paraId="59D05BE6" w14:textId="77777777" w:rsidR="007E50B3" w:rsidRDefault="007E50B3">
          <w:pPr>
            <w:pStyle w:val="TOC1"/>
            <w:tabs>
              <w:tab w:val="right" w:leader="dot" w:pos="10030"/>
            </w:tabs>
            <w:rPr>
              <w:noProof/>
            </w:rPr>
          </w:pPr>
          <w:hyperlink w:anchor="_Toc233489542" w:history="1">
            <w:r w:rsidRPr="00D5423D">
              <w:rPr>
                <w:rStyle w:val="Hyperlink"/>
                <w:noProof/>
              </w:rPr>
              <w:t>8. Task Schema</w:t>
            </w:r>
            <w:r>
              <w:rPr>
                <w:noProof/>
              </w:rPr>
              <w:tab/>
            </w:r>
            <w:r>
              <w:rPr>
                <w:noProof/>
              </w:rPr>
              <w:fldChar w:fldCharType="begin"/>
            </w:r>
            <w:r>
              <w:rPr>
                <w:noProof/>
              </w:rPr>
              <w:instrText xml:space="preserve"> PAGEREF _Toc233489542 \h </w:instrText>
            </w:r>
            <w:r>
              <w:rPr>
                <w:noProof/>
              </w:rPr>
            </w:r>
            <w:r>
              <w:rPr>
                <w:noProof/>
              </w:rPr>
              <w:fldChar w:fldCharType="separate"/>
            </w:r>
            <w:r>
              <w:rPr>
                <w:noProof/>
              </w:rPr>
              <w:t>11</w:t>
            </w:r>
            <w:r>
              <w:rPr>
                <w:noProof/>
              </w:rPr>
              <w:fldChar w:fldCharType="end"/>
            </w:r>
          </w:hyperlink>
        </w:p>
        <w:p w14:paraId="29626EA2" w14:textId="77777777" w:rsidR="007E50B3" w:rsidRDefault="007E50B3">
          <w:pPr>
            <w:pStyle w:val="TOC1"/>
            <w:tabs>
              <w:tab w:val="right" w:leader="dot" w:pos="10030"/>
            </w:tabs>
            <w:rPr>
              <w:noProof/>
            </w:rPr>
          </w:pPr>
          <w:hyperlink w:anchor="_Toc233489543" w:history="1">
            <w:r w:rsidRPr="00D5423D">
              <w:rPr>
                <w:rStyle w:val="Hyperlink"/>
                <w:noProof/>
              </w:rPr>
              <w:t>9. Memory Schema</w:t>
            </w:r>
            <w:r>
              <w:rPr>
                <w:noProof/>
              </w:rPr>
              <w:tab/>
            </w:r>
            <w:r>
              <w:rPr>
                <w:noProof/>
              </w:rPr>
              <w:fldChar w:fldCharType="begin"/>
            </w:r>
            <w:r>
              <w:rPr>
                <w:noProof/>
              </w:rPr>
              <w:instrText xml:space="preserve"> PAGEREF _Toc233489543 \h </w:instrText>
            </w:r>
            <w:r>
              <w:rPr>
                <w:noProof/>
              </w:rPr>
            </w:r>
            <w:r>
              <w:rPr>
                <w:noProof/>
              </w:rPr>
              <w:fldChar w:fldCharType="separate"/>
            </w:r>
            <w:r>
              <w:rPr>
                <w:noProof/>
              </w:rPr>
              <w:t>12</w:t>
            </w:r>
            <w:r>
              <w:rPr>
                <w:noProof/>
              </w:rPr>
              <w:fldChar w:fldCharType="end"/>
            </w:r>
          </w:hyperlink>
        </w:p>
        <w:p w14:paraId="403AFBCB" w14:textId="77777777" w:rsidR="007E50B3" w:rsidRDefault="007E50B3">
          <w:pPr>
            <w:pStyle w:val="TOC1"/>
            <w:tabs>
              <w:tab w:val="right" w:leader="dot" w:pos="10030"/>
            </w:tabs>
            <w:rPr>
              <w:noProof/>
            </w:rPr>
          </w:pPr>
          <w:hyperlink w:anchor="_Toc233489544" w:history="1">
            <w:r w:rsidRPr="00D5423D">
              <w:rPr>
                <w:rStyle w:val="Hyperlink"/>
                <w:noProof/>
              </w:rPr>
              <w:t>10. Event Model</w:t>
            </w:r>
            <w:r>
              <w:rPr>
                <w:noProof/>
              </w:rPr>
              <w:tab/>
            </w:r>
            <w:r>
              <w:rPr>
                <w:noProof/>
              </w:rPr>
              <w:fldChar w:fldCharType="begin"/>
            </w:r>
            <w:r>
              <w:rPr>
                <w:noProof/>
              </w:rPr>
              <w:instrText xml:space="preserve"> PAGEREF _Toc233489544 \h </w:instrText>
            </w:r>
            <w:r>
              <w:rPr>
                <w:noProof/>
              </w:rPr>
            </w:r>
            <w:r>
              <w:rPr>
                <w:noProof/>
              </w:rPr>
              <w:fldChar w:fldCharType="separate"/>
            </w:r>
            <w:r>
              <w:rPr>
                <w:noProof/>
              </w:rPr>
              <w:t>13</w:t>
            </w:r>
            <w:r>
              <w:rPr>
                <w:noProof/>
              </w:rPr>
              <w:fldChar w:fldCharType="end"/>
            </w:r>
          </w:hyperlink>
        </w:p>
        <w:p w14:paraId="31DA6467" w14:textId="77777777" w:rsidR="007E50B3" w:rsidRDefault="007E50B3">
          <w:pPr>
            <w:pStyle w:val="TOC2"/>
            <w:tabs>
              <w:tab w:val="right" w:leader="dot" w:pos="10030"/>
            </w:tabs>
            <w:rPr>
              <w:noProof/>
            </w:rPr>
          </w:pPr>
          <w:hyperlink w:anchor="_Toc233489545" w:history="1">
            <w:r w:rsidRPr="00D5423D">
              <w:rPr>
                <w:rStyle w:val="Hyperlink"/>
                <w:noProof/>
              </w:rPr>
              <w:t>10.1 Core event types</w:t>
            </w:r>
            <w:r>
              <w:rPr>
                <w:noProof/>
              </w:rPr>
              <w:tab/>
            </w:r>
            <w:r>
              <w:rPr>
                <w:noProof/>
              </w:rPr>
              <w:fldChar w:fldCharType="begin"/>
            </w:r>
            <w:r>
              <w:rPr>
                <w:noProof/>
              </w:rPr>
              <w:instrText xml:space="preserve"> PAGEREF _Toc233489545 \h </w:instrText>
            </w:r>
            <w:r>
              <w:rPr>
                <w:noProof/>
              </w:rPr>
            </w:r>
            <w:r>
              <w:rPr>
                <w:noProof/>
              </w:rPr>
              <w:fldChar w:fldCharType="separate"/>
            </w:r>
            <w:r>
              <w:rPr>
                <w:noProof/>
              </w:rPr>
              <w:t>13</w:t>
            </w:r>
            <w:r>
              <w:rPr>
                <w:noProof/>
              </w:rPr>
              <w:fldChar w:fldCharType="end"/>
            </w:r>
          </w:hyperlink>
        </w:p>
        <w:p w14:paraId="224A8C1A" w14:textId="77777777" w:rsidR="007E50B3" w:rsidRDefault="007E50B3">
          <w:pPr>
            <w:pStyle w:val="TOC1"/>
            <w:tabs>
              <w:tab w:val="right" w:leader="dot" w:pos="10030"/>
            </w:tabs>
            <w:rPr>
              <w:noProof/>
            </w:rPr>
          </w:pPr>
          <w:hyperlink w:anchor="_Toc233489546" w:history="1">
            <w:r w:rsidRPr="00D5423D">
              <w:rPr>
                <w:rStyle w:val="Hyperlink"/>
                <w:noProof/>
              </w:rPr>
              <w:t>11. Workflows</w:t>
            </w:r>
            <w:r>
              <w:rPr>
                <w:noProof/>
              </w:rPr>
              <w:tab/>
            </w:r>
            <w:r>
              <w:rPr>
                <w:noProof/>
              </w:rPr>
              <w:fldChar w:fldCharType="begin"/>
            </w:r>
            <w:r>
              <w:rPr>
                <w:noProof/>
              </w:rPr>
              <w:instrText xml:space="preserve"> PAGEREF _Toc233489546 \h </w:instrText>
            </w:r>
            <w:r>
              <w:rPr>
                <w:noProof/>
              </w:rPr>
            </w:r>
            <w:r>
              <w:rPr>
                <w:noProof/>
              </w:rPr>
              <w:fldChar w:fldCharType="separate"/>
            </w:r>
            <w:r>
              <w:rPr>
                <w:noProof/>
              </w:rPr>
              <w:t>14</w:t>
            </w:r>
            <w:r>
              <w:rPr>
                <w:noProof/>
              </w:rPr>
              <w:fldChar w:fldCharType="end"/>
            </w:r>
          </w:hyperlink>
        </w:p>
        <w:p w14:paraId="20ED7C44" w14:textId="77777777" w:rsidR="007E50B3" w:rsidRDefault="007E50B3">
          <w:pPr>
            <w:pStyle w:val="TOC2"/>
            <w:tabs>
              <w:tab w:val="right" w:leader="dot" w:pos="10030"/>
            </w:tabs>
            <w:rPr>
              <w:noProof/>
            </w:rPr>
          </w:pPr>
          <w:hyperlink w:anchor="_Toc233489547" w:history="1">
            <w:r w:rsidRPr="00D5423D">
              <w:rPr>
                <w:rStyle w:val="Hyperlink"/>
                <w:noProof/>
              </w:rPr>
              <w:t>11.1 Greenfield Product Development</w:t>
            </w:r>
            <w:r>
              <w:rPr>
                <w:noProof/>
              </w:rPr>
              <w:tab/>
            </w:r>
            <w:r>
              <w:rPr>
                <w:noProof/>
              </w:rPr>
              <w:fldChar w:fldCharType="begin"/>
            </w:r>
            <w:r>
              <w:rPr>
                <w:noProof/>
              </w:rPr>
              <w:instrText xml:space="preserve"> PAGEREF _Toc233489547 \h </w:instrText>
            </w:r>
            <w:r>
              <w:rPr>
                <w:noProof/>
              </w:rPr>
            </w:r>
            <w:r>
              <w:rPr>
                <w:noProof/>
              </w:rPr>
              <w:fldChar w:fldCharType="separate"/>
            </w:r>
            <w:r>
              <w:rPr>
                <w:noProof/>
              </w:rPr>
              <w:t>14</w:t>
            </w:r>
            <w:r>
              <w:rPr>
                <w:noProof/>
              </w:rPr>
              <w:fldChar w:fldCharType="end"/>
            </w:r>
          </w:hyperlink>
        </w:p>
        <w:p w14:paraId="51C506BB" w14:textId="77777777" w:rsidR="007E50B3" w:rsidRDefault="007E50B3">
          <w:pPr>
            <w:pStyle w:val="TOC2"/>
            <w:tabs>
              <w:tab w:val="right" w:leader="dot" w:pos="10030"/>
            </w:tabs>
            <w:rPr>
              <w:noProof/>
            </w:rPr>
          </w:pPr>
          <w:hyperlink w:anchor="_Toc233489548" w:history="1">
            <w:r w:rsidRPr="00D5423D">
              <w:rPr>
                <w:rStyle w:val="Hyperlink"/>
                <w:noProof/>
              </w:rPr>
              <w:t>11.2 Brownfield Modernization</w:t>
            </w:r>
            <w:r>
              <w:rPr>
                <w:noProof/>
              </w:rPr>
              <w:tab/>
            </w:r>
            <w:r>
              <w:rPr>
                <w:noProof/>
              </w:rPr>
              <w:fldChar w:fldCharType="begin"/>
            </w:r>
            <w:r>
              <w:rPr>
                <w:noProof/>
              </w:rPr>
              <w:instrText xml:space="preserve"> PAGEREF _Toc233489548 \h </w:instrText>
            </w:r>
            <w:r>
              <w:rPr>
                <w:noProof/>
              </w:rPr>
            </w:r>
            <w:r>
              <w:rPr>
                <w:noProof/>
              </w:rPr>
              <w:fldChar w:fldCharType="separate"/>
            </w:r>
            <w:r>
              <w:rPr>
                <w:noProof/>
              </w:rPr>
              <w:t>15</w:t>
            </w:r>
            <w:r>
              <w:rPr>
                <w:noProof/>
              </w:rPr>
              <w:fldChar w:fldCharType="end"/>
            </w:r>
          </w:hyperlink>
        </w:p>
        <w:p w14:paraId="0EA01F76" w14:textId="77777777" w:rsidR="007E50B3" w:rsidRDefault="007E50B3">
          <w:pPr>
            <w:pStyle w:val="TOC2"/>
            <w:tabs>
              <w:tab w:val="right" w:leader="dot" w:pos="10030"/>
            </w:tabs>
            <w:rPr>
              <w:noProof/>
            </w:rPr>
          </w:pPr>
          <w:hyperlink w:anchor="_Toc233489549" w:history="1">
            <w:r w:rsidRPr="00D5423D">
              <w:rPr>
                <w:rStyle w:val="Hyperlink"/>
                <w:noProof/>
              </w:rPr>
              <w:t>11.3 Production Defect Resolution</w:t>
            </w:r>
            <w:r>
              <w:rPr>
                <w:noProof/>
              </w:rPr>
              <w:tab/>
            </w:r>
            <w:r>
              <w:rPr>
                <w:noProof/>
              </w:rPr>
              <w:fldChar w:fldCharType="begin"/>
            </w:r>
            <w:r>
              <w:rPr>
                <w:noProof/>
              </w:rPr>
              <w:instrText xml:space="preserve"> PAGEREF _Toc233489549 \h </w:instrText>
            </w:r>
            <w:r>
              <w:rPr>
                <w:noProof/>
              </w:rPr>
            </w:r>
            <w:r>
              <w:rPr>
                <w:noProof/>
              </w:rPr>
              <w:fldChar w:fldCharType="separate"/>
            </w:r>
            <w:r>
              <w:rPr>
                <w:noProof/>
              </w:rPr>
              <w:t>15</w:t>
            </w:r>
            <w:r>
              <w:rPr>
                <w:noProof/>
              </w:rPr>
              <w:fldChar w:fldCharType="end"/>
            </w:r>
          </w:hyperlink>
        </w:p>
        <w:p w14:paraId="2FE39815" w14:textId="77777777" w:rsidR="007E50B3" w:rsidRDefault="007E50B3">
          <w:pPr>
            <w:pStyle w:val="TOC2"/>
            <w:tabs>
              <w:tab w:val="right" w:leader="dot" w:pos="10030"/>
            </w:tabs>
            <w:rPr>
              <w:noProof/>
            </w:rPr>
          </w:pPr>
          <w:hyperlink w:anchor="_Toc233489550" w:history="1">
            <w:r w:rsidRPr="00D5423D">
              <w:rPr>
                <w:rStyle w:val="Hyperlink"/>
                <w:noProof/>
              </w:rPr>
              <w:t>11.4 Remaining Workflows — Comparison Matrix</w:t>
            </w:r>
            <w:r>
              <w:rPr>
                <w:noProof/>
              </w:rPr>
              <w:tab/>
            </w:r>
            <w:r>
              <w:rPr>
                <w:noProof/>
              </w:rPr>
              <w:fldChar w:fldCharType="begin"/>
            </w:r>
            <w:r>
              <w:rPr>
                <w:noProof/>
              </w:rPr>
              <w:instrText xml:space="preserve"> PAGEREF _Toc233489550 \h </w:instrText>
            </w:r>
            <w:r>
              <w:rPr>
                <w:noProof/>
              </w:rPr>
            </w:r>
            <w:r>
              <w:rPr>
                <w:noProof/>
              </w:rPr>
              <w:fldChar w:fldCharType="separate"/>
            </w:r>
            <w:r>
              <w:rPr>
                <w:noProof/>
              </w:rPr>
              <w:t>16</w:t>
            </w:r>
            <w:r>
              <w:rPr>
                <w:noProof/>
              </w:rPr>
              <w:fldChar w:fldCharType="end"/>
            </w:r>
          </w:hyperlink>
        </w:p>
        <w:p w14:paraId="494E2988" w14:textId="77777777" w:rsidR="007E50B3" w:rsidRDefault="007E50B3">
          <w:pPr>
            <w:pStyle w:val="TOC1"/>
            <w:tabs>
              <w:tab w:val="right" w:leader="dot" w:pos="10030"/>
            </w:tabs>
            <w:rPr>
              <w:noProof/>
            </w:rPr>
          </w:pPr>
          <w:hyperlink w:anchor="_Toc233489551" w:history="1">
            <w:r w:rsidRPr="00D5423D">
              <w:rPr>
                <w:rStyle w:val="Hyperlink"/>
                <w:noProof/>
              </w:rPr>
              <w:t>12. Deployment Architecture</w:t>
            </w:r>
            <w:r>
              <w:rPr>
                <w:noProof/>
              </w:rPr>
              <w:tab/>
            </w:r>
            <w:r>
              <w:rPr>
                <w:noProof/>
              </w:rPr>
              <w:fldChar w:fldCharType="begin"/>
            </w:r>
            <w:r>
              <w:rPr>
                <w:noProof/>
              </w:rPr>
              <w:instrText xml:space="preserve"> PAGEREF _Toc233489551 \h </w:instrText>
            </w:r>
            <w:r>
              <w:rPr>
                <w:noProof/>
              </w:rPr>
            </w:r>
            <w:r>
              <w:rPr>
                <w:noProof/>
              </w:rPr>
              <w:fldChar w:fldCharType="separate"/>
            </w:r>
            <w:r>
              <w:rPr>
                <w:noProof/>
              </w:rPr>
              <w:t>18</w:t>
            </w:r>
            <w:r>
              <w:rPr>
                <w:noProof/>
              </w:rPr>
              <w:fldChar w:fldCharType="end"/>
            </w:r>
          </w:hyperlink>
        </w:p>
        <w:p w14:paraId="569C2052" w14:textId="77777777" w:rsidR="007E50B3" w:rsidRDefault="007E50B3">
          <w:pPr>
            <w:pStyle w:val="TOC1"/>
            <w:tabs>
              <w:tab w:val="right" w:leader="dot" w:pos="10030"/>
            </w:tabs>
            <w:rPr>
              <w:noProof/>
            </w:rPr>
          </w:pPr>
          <w:hyperlink w:anchor="_Toc233489552" w:history="1">
            <w:r w:rsidRPr="00D5423D">
              <w:rPr>
                <w:rStyle w:val="Hyperlink"/>
                <w:noProof/>
              </w:rPr>
              <w:t>13. Scalability Strategy</w:t>
            </w:r>
            <w:r>
              <w:rPr>
                <w:noProof/>
              </w:rPr>
              <w:tab/>
            </w:r>
            <w:r>
              <w:rPr>
                <w:noProof/>
              </w:rPr>
              <w:fldChar w:fldCharType="begin"/>
            </w:r>
            <w:r>
              <w:rPr>
                <w:noProof/>
              </w:rPr>
              <w:instrText xml:space="preserve"> PAGEREF _Toc233489552 \h </w:instrText>
            </w:r>
            <w:r>
              <w:rPr>
                <w:noProof/>
              </w:rPr>
            </w:r>
            <w:r>
              <w:rPr>
                <w:noProof/>
              </w:rPr>
              <w:fldChar w:fldCharType="separate"/>
            </w:r>
            <w:r>
              <w:rPr>
                <w:noProof/>
              </w:rPr>
              <w:t>19</w:t>
            </w:r>
            <w:r>
              <w:rPr>
                <w:noProof/>
              </w:rPr>
              <w:fldChar w:fldCharType="end"/>
            </w:r>
          </w:hyperlink>
        </w:p>
        <w:p w14:paraId="3E90C26E" w14:textId="77777777" w:rsidR="007E50B3" w:rsidRDefault="007E50B3">
          <w:pPr>
            <w:pStyle w:val="TOC1"/>
            <w:tabs>
              <w:tab w:val="right" w:leader="dot" w:pos="10030"/>
            </w:tabs>
            <w:rPr>
              <w:noProof/>
            </w:rPr>
          </w:pPr>
          <w:hyperlink w:anchor="_Toc233489553" w:history="1">
            <w:r w:rsidRPr="00D5423D">
              <w:rPr>
                <w:rStyle w:val="Hyperlink"/>
                <w:noProof/>
              </w:rPr>
              <w:t>14. Reference Implementation Roadmap — 5,000+ Engineer Enterprise</w:t>
            </w:r>
            <w:r>
              <w:rPr>
                <w:noProof/>
              </w:rPr>
              <w:tab/>
            </w:r>
            <w:r>
              <w:rPr>
                <w:noProof/>
              </w:rPr>
              <w:fldChar w:fldCharType="begin"/>
            </w:r>
            <w:r>
              <w:rPr>
                <w:noProof/>
              </w:rPr>
              <w:instrText xml:space="preserve"> PAGEREF _Toc233489553 \h </w:instrText>
            </w:r>
            <w:r>
              <w:rPr>
                <w:noProof/>
              </w:rPr>
            </w:r>
            <w:r>
              <w:rPr>
                <w:noProof/>
              </w:rPr>
              <w:fldChar w:fldCharType="separate"/>
            </w:r>
            <w:r>
              <w:rPr>
                <w:noProof/>
              </w:rPr>
              <w:t>20</w:t>
            </w:r>
            <w:r>
              <w:rPr>
                <w:noProof/>
              </w:rPr>
              <w:fldChar w:fldCharType="end"/>
            </w:r>
          </w:hyperlink>
        </w:p>
        <w:p w14:paraId="527FCB3B" w14:textId="77777777" w:rsidR="00F62033" w:rsidRDefault="00000000">
          <w:r>
            <w:fldChar w:fldCharType="end"/>
          </w:r>
        </w:p>
      </w:sdtContent>
    </w:sdt>
    <w:p w14:paraId="0BA46509" w14:textId="77777777" w:rsidR="00F62033" w:rsidRDefault="00000000">
      <w:r>
        <w:rPr>
          <w:i/>
          <w:iCs/>
          <w:color w:val="5B6478"/>
          <w:sz w:val="17"/>
          <w:szCs w:val="17"/>
        </w:rPr>
        <w:t>(If section titles don't appear above, right-click and choose “Update Field” — standard Word behaviour for a Table of Contents.)</w:t>
      </w:r>
    </w:p>
    <w:p w14:paraId="3CC4D280" w14:textId="77777777" w:rsidR="00F62033" w:rsidRDefault="00000000">
      <w:pPr>
        <w:pStyle w:val="Heading1"/>
        <w:pageBreakBefore/>
      </w:pPr>
      <w:bookmarkStart w:id="1" w:name="_Toc233489522"/>
      <w:r>
        <w:lastRenderedPageBreak/>
        <w:t>1. Architecture Principles</w:t>
      </w:r>
      <w:bookmarkEnd w:id="1"/>
    </w:p>
    <w:p w14:paraId="65CC563C" w14:textId="77777777" w:rsidR="00F62033" w:rsidRDefault="00000000">
      <w:pPr>
        <w:spacing w:after="140" w:line="290" w:lineRule="auto"/>
      </w:pPr>
      <w:r>
        <w:rPr>
          <w:color w:val="000000"/>
        </w:rPr>
        <w:t>Six tenets shape every decision in this document. Where a later section seems to add complexity, it traces back to one of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62033" w14:paraId="10B419EC"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6B151E8D" w14:textId="77777777" w:rsidR="00F62033" w:rsidRDefault="00000000">
            <w:r>
              <w:rPr>
                <w:b/>
                <w:bCs/>
                <w:color w:val="FFFFFF"/>
                <w:sz w:val="18"/>
                <w:szCs w:val="18"/>
              </w:rPr>
              <w:t>Principle</w:t>
            </w:r>
          </w:p>
        </w:tc>
        <w:tc>
          <w:tcPr>
            <w:tcW w:w="696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2441F080" w14:textId="77777777" w:rsidR="00F62033" w:rsidRDefault="00000000">
            <w:r>
              <w:rPr>
                <w:b/>
                <w:bCs/>
                <w:color w:val="FFFFFF"/>
                <w:sz w:val="18"/>
                <w:szCs w:val="18"/>
              </w:rPr>
              <w:t>What it rules out</w:t>
            </w:r>
          </w:p>
        </w:tc>
      </w:tr>
      <w:tr w:rsidR="00F62033" w14:paraId="3E641AF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685327C8" w14:textId="77777777" w:rsidR="00F62033" w:rsidRDefault="00000000">
            <w:r>
              <w:rPr>
                <w:b/>
                <w:bCs/>
                <w:color w:val="000000"/>
                <w:sz w:val="19"/>
                <w:szCs w:val="19"/>
              </w:rPr>
              <w:t>Agents never call agents</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592A1492" w14:textId="77777777" w:rsidR="00F62033" w:rsidRDefault="00000000">
            <w:r>
              <w:rPr>
                <w:color w:val="000000"/>
                <w:sz w:val="19"/>
                <w:szCs w:val="19"/>
              </w:rPr>
              <w:t>All communication is event-mediated. Rules out tight coupling that breaks every time one agent's interface changes.</w:t>
            </w:r>
          </w:p>
        </w:tc>
      </w:tr>
      <w:tr w:rsidR="00F62033" w14:paraId="217D7A0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216BBEEA" w14:textId="77777777" w:rsidR="00F62033" w:rsidRDefault="00000000">
            <w:r>
              <w:rPr>
                <w:b/>
                <w:bCs/>
                <w:color w:val="000000"/>
                <w:sz w:val="19"/>
                <w:szCs w:val="19"/>
              </w:rPr>
              <w:t>Orchestrator plans, never executes</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D87E588" w14:textId="77777777" w:rsidR="00F62033" w:rsidRDefault="00000000">
            <w:r>
              <w:rPr>
                <w:color w:val="000000"/>
                <w:sz w:val="19"/>
                <w:szCs w:val="19"/>
              </w:rPr>
              <w:t>The orchestrator decomposes and routes; it never writes code, runs a scan, or makes a judgement call itself. Keeps the core stable as specialist agents change.</w:t>
            </w:r>
          </w:p>
        </w:tc>
      </w:tr>
      <w:tr w:rsidR="00F62033" w14:paraId="04F8362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65BF66C3" w14:textId="77777777" w:rsidR="00F62033" w:rsidRDefault="00000000">
            <w:r>
              <w:rPr>
                <w:b/>
                <w:bCs/>
                <w:color w:val="000000"/>
                <w:sz w:val="19"/>
                <w:szCs w:val="19"/>
              </w:rPr>
              <w:t>New agents plug in, never patch in</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7AD62938" w14:textId="77777777" w:rsidR="00F62033" w:rsidRDefault="00000000">
            <w:r>
              <w:rPr>
                <w:color w:val="000000"/>
                <w:sz w:val="19"/>
                <w:szCs w:val="19"/>
              </w:rPr>
              <w:t>Adding a capability means registering a new agent against the Agent Registry contract — never editing orchestrator code. This is the platform's actual scalability claim.</w:t>
            </w:r>
          </w:p>
        </w:tc>
      </w:tr>
      <w:tr w:rsidR="00F62033" w14:paraId="40AAE6D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4141D307" w14:textId="77777777" w:rsidR="00F62033" w:rsidRDefault="00000000">
            <w:r>
              <w:rPr>
                <w:b/>
                <w:bCs/>
                <w:color w:val="000000"/>
                <w:sz w:val="19"/>
                <w:szCs w:val="19"/>
              </w:rPr>
              <w:t>Humans approve, agents propose</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1549861E" w14:textId="77777777" w:rsidR="00F62033" w:rsidRDefault="00000000">
            <w:r>
              <w:rPr>
                <w:color w:val="000000"/>
                <w:sz w:val="19"/>
                <w:szCs w:val="19"/>
              </w:rPr>
              <w:t>Every workflow has named, non-</w:t>
            </w:r>
            <w:proofErr w:type="spellStart"/>
            <w:r>
              <w:rPr>
                <w:color w:val="000000"/>
                <w:sz w:val="19"/>
                <w:szCs w:val="19"/>
              </w:rPr>
              <w:t>bypassable</w:t>
            </w:r>
            <w:proofErr w:type="spellEnd"/>
            <w:r>
              <w:rPr>
                <w:color w:val="000000"/>
                <w:sz w:val="19"/>
                <w:szCs w:val="19"/>
              </w:rPr>
              <w:t xml:space="preserve"> approval gates. Rules out “fully autonomous” framing anywhere safety, cost, or compliance is at stake.</w:t>
            </w:r>
          </w:p>
        </w:tc>
      </w:tr>
      <w:tr w:rsidR="00F62033" w14:paraId="23918EF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7765C96C" w14:textId="77777777" w:rsidR="00F62033" w:rsidRDefault="00000000">
            <w:r>
              <w:rPr>
                <w:b/>
                <w:bCs/>
                <w:color w:val="000000"/>
                <w:sz w:val="19"/>
                <w:szCs w:val="19"/>
              </w:rPr>
              <w:t xml:space="preserve">Every decision is </w:t>
            </w:r>
            <w:proofErr w:type="spellStart"/>
            <w:r>
              <w:rPr>
                <w:b/>
                <w:bCs/>
                <w:color w:val="000000"/>
                <w:sz w:val="19"/>
                <w:szCs w:val="19"/>
              </w:rPr>
              <w:t>reconstructable</w:t>
            </w:r>
            <w:proofErr w:type="spellEnd"/>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16ED2AD9" w14:textId="77777777" w:rsidR="00F62033" w:rsidRDefault="00000000">
            <w:r>
              <w:rPr>
                <w:color w:val="000000"/>
                <w:sz w:val="19"/>
                <w:szCs w:val="19"/>
              </w:rPr>
              <w:t>If an auditor or incident review asks “why did this happen,” the answer is a query against the audit store, not a guess.</w:t>
            </w:r>
          </w:p>
        </w:tc>
      </w:tr>
      <w:tr w:rsidR="00F62033" w14:paraId="40F5CF1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222756AE" w14:textId="77777777" w:rsidR="00F62033" w:rsidRDefault="00000000">
            <w:r>
              <w:rPr>
                <w:b/>
                <w:bCs/>
                <w:color w:val="000000"/>
                <w:sz w:val="19"/>
                <w:szCs w:val="19"/>
              </w:rPr>
              <w:t>Vendor-neutral by construction</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5A3511B9" w14:textId="77777777" w:rsidR="00F62033" w:rsidRDefault="00000000">
            <w:r>
              <w:rPr>
                <w:color w:val="000000"/>
                <w:sz w:val="19"/>
                <w:szCs w:val="19"/>
              </w:rPr>
              <w:t>Tool Registry and Model Router exist specifically so Azure DevOps today doesn't mean a rebuild if the client uses Jira tomorrow, and Claude today doesn't mean lock-in if a model swap makes sense later.</w:t>
            </w:r>
          </w:p>
        </w:tc>
      </w:tr>
    </w:tbl>
    <w:p w14:paraId="3117240A" w14:textId="77777777" w:rsidR="00F62033" w:rsidRDefault="00F62033">
      <w:pPr>
        <w:spacing w:after="160"/>
      </w:pPr>
    </w:p>
    <w:p w14:paraId="5FCE5651" w14:textId="77777777" w:rsidR="00F62033" w:rsidRDefault="00000000">
      <w:pPr>
        <w:pStyle w:val="Heading1"/>
        <w:pageBreakBefore/>
      </w:pPr>
      <w:bookmarkStart w:id="2" w:name="_Toc233489523"/>
      <w:r>
        <w:lastRenderedPageBreak/>
        <w:t>2. System Context (C4 Level 1)</w:t>
      </w:r>
      <w:bookmarkEnd w:id="2"/>
    </w:p>
    <w:p w14:paraId="09D25498" w14:textId="77777777" w:rsidR="00F62033" w:rsidRDefault="00000000">
      <w:pPr>
        <w:spacing w:after="140" w:line="290" w:lineRule="auto"/>
      </w:pPr>
      <w:r>
        <w:rPr>
          <w:color w:val="000000"/>
        </w:rPr>
        <w:t>The platform sits between the people who request and approve work, and the external systems that already hold an enterprise's code, tickets, and infrastructure. It introduces no new system of record — it orchestrates the ones that exist.</w:t>
      </w:r>
    </w:p>
    <w:p w14:paraId="650405A9" w14:textId="1DD97850" w:rsidR="00F62033" w:rsidRDefault="00F62033">
      <w:pPr>
        <w:spacing w:after="80"/>
        <w:jc w:val="center"/>
      </w:pPr>
    </w:p>
    <w:p w14:paraId="665A184E" w14:textId="78619D39" w:rsidR="00F62033" w:rsidRDefault="00000000">
      <w:pPr>
        <w:spacing w:after="200"/>
        <w:jc w:val="center"/>
      </w:pPr>
      <w:r>
        <w:rPr>
          <w:i/>
          <w:iCs/>
          <w:color w:val="5B6478"/>
          <w:sz w:val="18"/>
          <w:szCs w:val="18"/>
        </w:rPr>
        <w:t>Figure 1 — System Context: people, the platform, a</w:t>
      </w:r>
      <w:r w:rsidR="007E50B3">
        <w:rPr>
          <w:noProof/>
        </w:rPr>
        <w:drawing>
          <wp:inline distT="0" distB="0" distL="0" distR="0" wp14:anchorId="53D99435" wp14:editId="5D17A2DF">
            <wp:extent cx="585216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52160" cy="3657600"/>
                    </a:xfrm>
                    <a:prstGeom prst="rect">
                      <a:avLst/>
                    </a:prstGeom>
                  </pic:spPr>
                </pic:pic>
              </a:graphicData>
            </a:graphic>
          </wp:inline>
        </w:drawing>
      </w:r>
      <w:proofErr w:type="spellStart"/>
      <w:r>
        <w:rPr>
          <w:i/>
          <w:iCs/>
          <w:color w:val="5B6478"/>
          <w:sz w:val="18"/>
          <w:szCs w:val="18"/>
        </w:rPr>
        <w:t>nd</w:t>
      </w:r>
      <w:proofErr w:type="spellEnd"/>
      <w:r>
        <w:rPr>
          <w:i/>
          <w:iCs/>
          <w:color w:val="5B6478"/>
          <w:sz w:val="18"/>
          <w:szCs w:val="18"/>
        </w:rPr>
        <w:t xml:space="preserve"> the external systems it integrates with</w:t>
      </w:r>
    </w:p>
    <w:p w14:paraId="29636877" w14:textId="77777777" w:rsidR="00F62033" w:rsidRDefault="00000000">
      <w:pPr>
        <w:spacing w:after="140" w:line="290" w:lineRule="auto"/>
      </w:pPr>
      <w:r>
        <w:rPr>
          <w:color w:val="000000"/>
        </w:rPr>
        <w:t>Two relationships are deliberately asymmetric. Arrows into the platform from GitHub/Azure DevOps/Jira/SonarQube/</w:t>
      </w:r>
      <w:proofErr w:type="spellStart"/>
      <w:r>
        <w:rPr>
          <w:color w:val="000000"/>
        </w:rPr>
        <w:t>Snyk</w:t>
      </w:r>
      <w:proofErr w:type="spellEnd"/>
      <w:r>
        <w:rPr>
          <w:color w:val="000000"/>
        </w:rPr>
        <w:t xml:space="preserve"> are read/write per a scoped Tool Contract (Section 7) — never blanket credentials. Arrows from the platform to the Clinical Safety Officer / CAB Chair (or equivalent governance role in a non-healthcare client) are gates, not notifications: the workflow cannot proceed past that point without a recorded decision.</w:t>
      </w:r>
    </w:p>
    <w:p w14:paraId="65AB67EF" w14:textId="77777777" w:rsidR="00F62033" w:rsidRDefault="00000000">
      <w:pPr>
        <w:pStyle w:val="Heading1"/>
        <w:pageBreakBefore/>
      </w:pPr>
      <w:bookmarkStart w:id="3" w:name="_Toc233489524"/>
      <w:r>
        <w:lastRenderedPageBreak/>
        <w:t>3. Containers (C4 Level 2)</w:t>
      </w:r>
      <w:bookmarkEnd w:id="3"/>
    </w:p>
    <w:p w14:paraId="7BBF1955" w14:textId="77777777" w:rsidR="00F62033" w:rsidRDefault="00000000">
      <w:pPr>
        <w:spacing w:after="140" w:line="290" w:lineRule="auto"/>
      </w:pPr>
      <w:r>
        <w:rPr>
          <w:color w:val="000000"/>
        </w:rPr>
        <w:t xml:space="preserve">Nine containers, each independently deployable and independently scalable. The Event Bus is the only thing every other container </w:t>
      </w:r>
      <w:proofErr w:type="gramStart"/>
      <w:r>
        <w:rPr>
          <w:color w:val="000000"/>
        </w:rPr>
        <w:t>talks</w:t>
      </w:r>
      <w:proofErr w:type="gramEnd"/>
      <w:r>
        <w:rPr>
          <w:color w:val="000000"/>
        </w:rPr>
        <w:t xml:space="preserve"> to — this is what makes the platform's plug-in claim real rather than aspirational.</w:t>
      </w:r>
    </w:p>
    <w:p w14:paraId="6D3BC617" w14:textId="77777777" w:rsidR="00F62033" w:rsidRDefault="00000000">
      <w:pPr>
        <w:spacing w:after="80"/>
        <w:jc w:val="center"/>
      </w:pPr>
      <w:r>
        <w:rPr>
          <w:noProof/>
        </w:rPr>
        <w:drawing>
          <wp:inline distT="0" distB="0" distL="0" distR="0" wp14:anchorId="112CD0F8" wp14:editId="7F597D3A">
            <wp:extent cx="6035040" cy="4160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35040" cy="4160520"/>
                    </a:xfrm>
                    <a:prstGeom prst="rect">
                      <a:avLst/>
                    </a:prstGeom>
                  </pic:spPr>
                </pic:pic>
              </a:graphicData>
            </a:graphic>
          </wp:inline>
        </w:drawing>
      </w:r>
    </w:p>
    <w:p w14:paraId="292B5612" w14:textId="77777777" w:rsidR="00F62033" w:rsidRDefault="00000000">
      <w:pPr>
        <w:spacing w:after="200"/>
        <w:jc w:val="center"/>
      </w:pPr>
      <w:r>
        <w:rPr>
          <w:i/>
          <w:iCs/>
          <w:color w:val="5B6478"/>
          <w:sz w:val="18"/>
          <w:szCs w:val="18"/>
        </w:rPr>
        <w:t>Figure 2 — Containers inside the platform boundary</w:t>
      </w:r>
    </w:p>
    <w:p w14:paraId="7E91B1CC" w14:textId="77777777" w:rsidR="00F62033" w:rsidRDefault="00000000">
      <w:pPr>
        <w:pStyle w:val="Heading2"/>
      </w:pPr>
      <w:bookmarkStart w:id="4" w:name="_Toc233489525"/>
      <w:r>
        <w:t>3.1 Why specialist agents never call each other directly</w:t>
      </w:r>
      <w:bookmarkEnd w:id="4"/>
    </w:p>
    <w:p w14:paraId="365EE754" w14:textId="77777777" w:rsidR="00F62033" w:rsidRDefault="00000000">
      <w:pPr>
        <w:spacing w:after="140" w:line="290" w:lineRule="auto"/>
      </w:pPr>
      <w:r>
        <w:rPr>
          <w:color w:val="000000"/>
        </w:rPr>
        <w:t>This is the single most consequential design decision in the platform, so it's worth justifying explicitly. If the Coding Agent called the Test Agent directly, every new agent added later would need to know about every agent that might call it — an O(n²) coupling problem that gets worse with every capability the platform gains. Routing everything through the Event Bus means an agent has exactly one relationship to maintain: publish results, subscribe to relevant events. A thousand-engineer platform with fifty specialist agents is exactly as architecturally simple as a five-agent pilot.</w:t>
      </w:r>
    </w:p>
    <w:p w14:paraId="71DD640B" w14:textId="77777777" w:rsidR="00F62033" w:rsidRDefault="00000000">
      <w:pPr>
        <w:pStyle w:val="Heading1"/>
        <w:pageBreakBefore/>
      </w:pPr>
      <w:bookmarkStart w:id="5" w:name="_Toc233489526"/>
      <w:r>
        <w:lastRenderedPageBreak/>
        <w:t>4. Components — Inside the Orchestrator (C4 Level 3)</w:t>
      </w:r>
      <w:bookmarkEnd w:id="5"/>
    </w:p>
    <w:p w14:paraId="5553F4BA" w14:textId="77777777" w:rsidR="00F62033" w:rsidRDefault="00000000">
      <w:pPr>
        <w:spacing w:after="140" w:line="290" w:lineRule="auto"/>
      </w:pPr>
      <w:r>
        <w:rPr>
          <w:color w:val="000000"/>
        </w:rPr>
        <w:t>Zooming into the one container most readers will ask about first: how does the orchestrator actually decide what to do.</w:t>
      </w:r>
    </w:p>
    <w:p w14:paraId="10E071CB" w14:textId="77777777" w:rsidR="00F62033" w:rsidRDefault="00000000">
      <w:pPr>
        <w:spacing w:after="80"/>
        <w:jc w:val="center"/>
      </w:pPr>
      <w:r>
        <w:rPr>
          <w:noProof/>
        </w:rPr>
        <w:drawing>
          <wp:inline distT="0" distB="0" distL="0" distR="0" wp14:anchorId="272610AF" wp14:editId="7A5AD1BA">
            <wp:extent cx="6035040" cy="4206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35040" cy="4206240"/>
                    </a:xfrm>
                    <a:prstGeom prst="rect">
                      <a:avLst/>
                    </a:prstGeom>
                  </pic:spPr>
                </pic:pic>
              </a:graphicData>
            </a:graphic>
          </wp:inline>
        </w:drawing>
      </w:r>
    </w:p>
    <w:p w14:paraId="0D7A33A5" w14:textId="77777777" w:rsidR="00F62033" w:rsidRDefault="00000000">
      <w:pPr>
        <w:spacing w:after="200"/>
        <w:jc w:val="center"/>
      </w:pPr>
      <w:r>
        <w:rPr>
          <w:i/>
          <w:iCs/>
          <w:color w:val="5B6478"/>
          <w:sz w:val="18"/>
          <w:szCs w:val="18"/>
        </w:rPr>
        <w:t>Figure 3 — Components inside the Planner/Orchestrator</w:t>
      </w:r>
    </w:p>
    <w:p w14:paraId="241BEB94" w14:textId="77777777" w:rsidR="00F62033" w:rsidRDefault="00000000">
      <w:pPr>
        <w:spacing w:after="140" w:line="290" w:lineRule="auto"/>
      </w:pPr>
      <w:r>
        <w:rPr>
          <w:color w:val="000000"/>
        </w:rPr>
        <w:t>Note what's absent: there is no component here that writes code, runs a test, or scans a dependency. The Context Assembler prepares what a specialist agent will need; the Cost-Aware Dispatcher decides which model tier the work justifies before dispatch; the Gate Enforcer's only job is to refuse to advance workflow state until a recorded approval exists. The orchestrator is a planner and a referee, never a player.</w:t>
      </w:r>
    </w:p>
    <w:p w14:paraId="5E294DCD" w14:textId="77777777" w:rsidR="00F62033" w:rsidRDefault="00000000">
      <w:pPr>
        <w:pStyle w:val="Heading1"/>
        <w:pageBreakBefore/>
      </w:pPr>
      <w:bookmarkStart w:id="6" w:name="_Toc233489527"/>
      <w:r>
        <w:lastRenderedPageBreak/>
        <w:t>5. Core Platform Concerns</w:t>
      </w:r>
      <w:bookmarkEnd w:id="6"/>
    </w:p>
    <w:p w14:paraId="719AA4C9" w14:textId="77777777" w:rsidR="00F62033" w:rsidRDefault="00000000">
      <w:pPr>
        <w:spacing w:after="140" w:line="290" w:lineRule="auto"/>
      </w:pPr>
      <w:r>
        <w:rPr>
          <w:color w:val="000000"/>
        </w:rPr>
        <w:t>The fifteen concerns below are not separate features bolted together — each is a thin, well-bounded responsibility, deliberately kept separate so that scaling or replacing one never forces a rewrite of another.</w:t>
      </w:r>
    </w:p>
    <w:p w14:paraId="54B0A1C3" w14:textId="77777777" w:rsidR="00F62033" w:rsidRDefault="00000000">
      <w:pPr>
        <w:pStyle w:val="Heading2"/>
      </w:pPr>
      <w:bookmarkStart w:id="7" w:name="_Toc233489528"/>
      <w:r>
        <w:t>5.1 Agent Registry — dynamic discovery</w:t>
      </w:r>
      <w:bookmarkEnd w:id="7"/>
    </w:p>
    <w:p w14:paraId="173AA1AA" w14:textId="77777777" w:rsidR="00F62033" w:rsidRDefault="00000000">
      <w:pPr>
        <w:spacing w:after="140" w:line="290" w:lineRule="auto"/>
      </w:pPr>
      <w:r>
        <w:rPr>
          <w:color w:val="000000"/>
        </w:rPr>
        <w:t>Every specialist agent registers its capabilities, input/output schema, and resource cost class at startup — it is never hardcoded into the orchestrator. The orchestrator's Agent Selector queries this registry by capability tag (e.g. “generates-unit-tests”, “scans-dependencies”), not by agent name. Adding a new agent is an entry in this registry, not a code change.</w:t>
      </w:r>
    </w:p>
    <w:p w14:paraId="3F58B8D8" w14:textId="77777777" w:rsidR="00F62033" w:rsidRDefault="00000000">
      <w:pPr>
        <w:pStyle w:val="Heading2"/>
      </w:pPr>
      <w:bookmarkStart w:id="8" w:name="_Toc233489529"/>
      <w:r>
        <w:t>5.2 Tool Registry — external integrations</w:t>
      </w:r>
      <w:bookmarkEnd w:id="8"/>
    </w:p>
    <w:p w14:paraId="49B81840" w14:textId="77777777" w:rsidR="00F62033" w:rsidRDefault="00000000">
      <w:pPr>
        <w:spacing w:after="140" w:line="290" w:lineRule="auto"/>
      </w:pPr>
      <w:r>
        <w:rPr>
          <w:color w:val="000000"/>
        </w:rPr>
        <w:t xml:space="preserve">Every external system (GitHub, Azure DevOps, Jira, Confluence, Kubernetes, Terraform, SonarQube, </w:t>
      </w:r>
      <w:proofErr w:type="spellStart"/>
      <w:r>
        <w:rPr>
          <w:color w:val="000000"/>
        </w:rPr>
        <w:t>Snyk</w:t>
      </w:r>
      <w:proofErr w:type="spellEnd"/>
      <w:r>
        <w:rPr>
          <w:color w:val="000000"/>
        </w:rPr>
        <w:t>, enterprise CI/CD) is wrapped in a Tool Contract (Section 7) registered here. Agents request a tool by capability (“create-pull-request”), and the registry resolves it to whichever concrete integration the tenant has configured. This is the entire mechanism behind vendor neutrality — a tenant using Jira instead of Azure DevOps changes a registry entry, not agent logic.</w:t>
      </w:r>
    </w:p>
    <w:p w14:paraId="36872AAA" w14:textId="77777777" w:rsidR="00F62033" w:rsidRDefault="00000000">
      <w:pPr>
        <w:pStyle w:val="Heading2"/>
      </w:pPr>
      <w:bookmarkStart w:id="9" w:name="_Toc233489530"/>
      <w:r>
        <w:t>5.3 Shared Memory &amp; Project Context</w:t>
      </w:r>
      <w:bookmarkEnd w:id="9"/>
    </w:p>
    <w:p w14:paraId="7A7C864F" w14:textId="77777777" w:rsidR="00F62033" w:rsidRDefault="00000000">
      <w:pPr>
        <w:spacing w:after="140" w:line="290" w:lineRule="auto"/>
      </w:pPr>
      <w:r>
        <w:rPr>
          <w:color w:val="000000"/>
        </w:rPr>
        <w:t>Two distinct memory types, often conflated incorrectly:</w:t>
      </w:r>
    </w:p>
    <w:p w14:paraId="16397AA4" w14:textId="77777777" w:rsidR="00F62033" w:rsidRDefault="00000000">
      <w:pPr>
        <w:pStyle w:val="ListParagraph"/>
        <w:numPr>
          <w:ilvl w:val="0"/>
          <w:numId w:val="2"/>
        </w:numPr>
        <w:spacing w:after="80" w:line="280" w:lineRule="auto"/>
      </w:pPr>
      <w:r>
        <w:t>Working context (short-lived): the active task, branch, and conversation state for the current run — passed explicitly between agents per the Task Schema (Section 8), not silently shared.</w:t>
      </w:r>
    </w:p>
    <w:p w14:paraId="36229575" w14:textId="77777777" w:rsidR="00F62033" w:rsidRDefault="00000000">
      <w:pPr>
        <w:pStyle w:val="ListParagraph"/>
        <w:numPr>
          <w:ilvl w:val="0"/>
          <w:numId w:val="2"/>
        </w:numPr>
        <w:spacing w:after="80" w:line="280" w:lineRule="auto"/>
      </w:pPr>
      <w:r>
        <w:t>Long-term memory (durable): a vector knowledge store holding coding standards, architecture decisions, prior incident resolutions, and codebase embeddings — queried by any agent that needs organisational context, written to deliberately, not automatically.</w:t>
      </w:r>
    </w:p>
    <w:p w14:paraId="67CC85F7" w14:textId="77777777" w:rsidR="00F62033" w:rsidRDefault="00000000">
      <w:pPr>
        <w:spacing w:after="140" w:line="290" w:lineRule="auto"/>
      </w:pPr>
      <w:r>
        <w:rPr>
          <w:color w:val="000000"/>
        </w:rPr>
        <w:t>Conflating these is the most common cause of agents producing inconsistent output across runs — working context that should have been discarded leaking into what looks like institutional memory.</w:t>
      </w:r>
    </w:p>
    <w:p w14:paraId="2C3C341E" w14:textId="77777777" w:rsidR="00F62033" w:rsidRDefault="00000000">
      <w:pPr>
        <w:pStyle w:val="Heading2"/>
      </w:pPr>
      <w:bookmarkStart w:id="10" w:name="_Toc233489531"/>
      <w:r>
        <w:t>5.4 Event-Driven Communication</w:t>
      </w:r>
      <w:bookmarkEnd w:id="10"/>
    </w:p>
    <w:p w14:paraId="1CA81F25" w14:textId="77777777" w:rsidR="00F62033" w:rsidRDefault="00000000">
      <w:pPr>
        <w:spacing w:after="140" w:line="290" w:lineRule="auto"/>
      </w:pPr>
      <w:r>
        <w:rPr>
          <w:color w:val="000000"/>
        </w:rPr>
        <w:t>All inter-agent communication is publish/subscribe over the Event Bus, using the Event Model defined in Section 10. An agent publishes what it did; it never instructs another agent on what to do next — that sequencing logic lives solely in the orchestrator's Workflow State Machine.</w:t>
      </w:r>
    </w:p>
    <w:p w14:paraId="78BF836A" w14:textId="77777777" w:rsidR="00F62033" w:rsidRDefault="00000000">
      <w:pPr>
        <w:pStyle w:val="Heading2"/>
      </w:pPr>
      <w:bookmarkStart w:id="11" w:name="_Toc233489532"/>
      <w:r>
        <w:t>5.5 Task Queue &amp; Workflow Engine</w:t>
      </w:r>
      <w:bookmarkEnd w:id="11"/>
    </w:p>
    <w:p w14:paraId="66216374" w14:textId="77777777" w:rsidR="00F62033" w:rsidRDefault="00000000">
      <w:pPr>
        <w:spacing w:after="140" w:line="290" w:lineRule="auto"/>
      </w:pPr>
      <w:r>
        <w:rPr>
          <w:color w:val="000000"/>
        </w:rPr>
        <w:t>Durable, persisted task state — not in-memory. Every workflow transition is written before it's acted on, so a platform restart resumes mid-workflow rather than losing state. Implements retry-with-backoff per task and saga-style compensation for multi-step rollback (Section 11.3's rollback strategies depend on this).</w:t>
      </w:r>
    </w:p>
    <w:p w14:paraId="29F1535A" w14:textId="77777777" w:rsidR="00F62033" w:rsidRDefault="00000000">
      <w:pPr>
        <w:pStyle w:val="Heading2"/>
      </w:pPr>
      <w:bookmarkStart w:id="12" w:name="_Toc233489533"/>
      <w:r>
        <w:t>5.6 Human Approval Checkpoints</w:t>
      </w:r>
      <w:bookmarkEnd w:id="12"/>
    </w:p>
    <w:p w14:paraId="2A1760FD" w14:textId="77777777" w:rsidR="00F62033" w:rsidRDefault="00000000">
      <w:pPr>
        <w:spacing w:after="140" w:line="290" w:lineRule="auto"/>
      </w:pPr>
      <w:r>
        <w:rPr>
          <w:color w:val="000000"/>
        </w:rPr>
        <w:t xml:space="preserve">A first-class platform service, not a UI afterthought. Every gate produces a named-approver record (who, when, what they saw, what they decided) before the workflow state machine is permitted to transition. Gates can be time-boxed </w:t>
      </w:r>
      <w:r>
        <w:rPr>
          <w:color w:val="000000"/>
        </w:rPr>
        <w:lastRenderedPageBreak/>
        <w:t>(Section 11.3, defect resolution) or open-ended (Section 11.1, architecture review) — the platform supports both, but every gate is non-</w:t>
      </w:r>
      <w:proofErr w:type="spellStart"/>
      <w:r>
        <w:rPr>
          <w:color w:val="000000"/>
        </w:rPr>
        <w:t>bypassable</w:t>
      </w:r>
      <w:proofErr w:type="spellEnd"/>
      <w:r>
        <w:rPr>
          <w:color w:val="000000"/>
        </w:rPr>
        <w:t xml:space="preserve"> by design.</w:t>
      </w:r>
    </w:p>
    <w:p w14:paraId="5DF093B7" w14:textId="77777777" w:rsidR="00F62033" w:rsidRDefault="00000000">
      <w:pPr>
        <w:pStyle w:val="Heading2"/>
      </w:pPr>
      <w:bookmarkStart w:id="13" w:name="_Toc233489534"/>
      <w:r>
        <w:t>5.7 Audit Logs &amp; Explainability</w:t>
      </w:r>
      <w:bookmarkEnd w:id="13"/>
    </w:p>
    <w:p w14:paraId="715FAA18" w14:textId="77777777" w:rsidR="00F62033" w:rsidRDefault="00000000">
      <w:pPr>
        <w:spacing w:after="140" w:line="290" w:lineRule="auto"/>
      </w:pPr>
      <w:r>
        <w:rPr>
          <w:color w:val="000000"/>
        </w:rPr>
        <w:t>An immutable, append-only store of every agent action and every human decision, each tied to a task ID, a workflow run, and a timestamp. This is what turns “trust the AI” into “query the record” — the same mechanism that satisfies an internal retro also satisfies an external compliance audit.</w:t>
      </w:r>
    </w:p>
    <w:p w14:paraId="7E0D5A05" w14:textId="77777777" w:rsidR="00F62033" w:rsidRDefault="00000000">
      <w:pPr>
        <w:pStyle w:val="Heading2"/>
      </w:pPr>
      <w:bookmarkStart w:id="14" w:name="_Toc233489535"/>
      <w:r>
        <w:t>5.8 Multi-Tenant Architecture</w:t>
      </w:r>
      <w:bookmarkEnd w:id="14"/>
    </w:p>
    <w:p w14:paraId="61436308" w14:textId="77777777" w:rsidR="00F62033" w:rsidRDefault="00000000">
      <w:pPr>
        <w:spacing w:after="140" w:line="290" w:lineRule="auto"/>
      </w:pPr>
      <w:r>
        <w:rPr>
          <w:color w:val="000000"/>
        </w:rPr>
        <w:t>Tenancy is enforced at three layers: namespace isolation in the Task Queue and Memory stores (one tenant's project context is never visible to another's agents), per-tenant policy configuration (which gates are mandatory, which tools are permitted), and per-tenant quota on the Model Router. A single platform deployment can serve multiple business units or multiple clients without code forking.</w:t>
      </w:r>
    </w:p>
    <w:p w14:paraId="713B156D" w14:textId="77777777" w:rsidR="00F62033" w:rsidRDefault="00000000">
      <w:pPr>
        <w:pStyle w:val="Heading2"/>
      </w:pPr>
      <w:bookmarkStart w:id="15" w:name="_Toc233489536"/>
      <w:r>
        <w:t>5.9 Security, RBAC &amp; Secrets</w:t>
      </w:r>
      <w:bookmarkEnd w:id="15"/>
    </w:p>
    <w:p w14:paraId="02B1E98B" w14:textId="77777777" w:rsidR="00F62033" w:rsidRDefault="00000000">
      <w:pPr>
        <w:spacing w:after="140" w:line="290" w:lineRule="auto"/>
      </w:pPr>
      <w:r>
        <w:rPr>
          <w:color w:val="000000"/>
        </w:rPr>
        <w:t>Three distinct controls, often wrongly merged into one: RBAC governs which humans can approve which gates; the Policy Engine governs which actions an agent is permitted to take regardless of who's asking; the Secrets Vault means no agent or tool integration ever holds a credential directly — it requests a short-lived, scoped token per invocation.</w:t>
      </w:r>
    </w:p>
    <w:p w14:paraId="7E591F2E" w14:textId="77777777" w:rsidR="00F62033" w:rsidRDefault="00000000">
      <w:pPr>
        <w:pStyle w:val="Heading2"/>
      </w:pPr>
      <w:bookmarkStart w:id="16" w:name="_Toc233489537"/>
      <w:r>
        <w:t>5.10 Cost Optimisation &amp; Model Routing</w:t>
      </w:r>
      <w:bookmarkEnd w:id="16"/>
    </w:p>
    <w:p w14:paraId="3C0E35EE" w14:textId="77777777" w:rsidR="00F62033" w:rsidRDefault="00000000">
      <w:pPr>
        <w:spacing w:after="140" w:line="290" w:lineRule="auto"/>
      </w:pPr>
      <w:r>
        <w:rPr>
          <w:color w:val="000000"/>
        </w:rPr>
        <w:t>Not every task needs the most capable (and most expensive) model. The Model Router classifies each dispatched task by complexity and risk, and routes accordingly — a routine test-scaffold generation task and a security-critical architecture review should not cost the same or use the same model tier. This is also the platform's primary lever for managing inference spend at scale.</w:t>
      </w:r>
    </w:p>
    <w:p w14:paraId="0837AC94" w14:textId="77777777" w:rsidR="00F62033" w:rsidRDefault="00000000">
      <w:pPr>
        <w:pStyle w:val="Heading2"/>
      </w:pPr>
      <w:bookmarkStart w:id="17" w:name="_Toc233489538"/>
      <w:r>
        <w:t>5.11 Failure Recovery &amp; Retry</w:t>
      </w:r>
      <w:bookmarkEnd w:id="17"/>
    </w:p>
    <w:p w14:paraId="5AE45752" w14:textId="77777777" w:rsidR="00F62033" w:rsidRDefault="00000000">
      <w:pPr>
        <w:spacing w:after="140" w:line="290" w:lineRule="auto"/>
      </w:pPr>
      <w:r>
        <w:rPr>
          <w:color w:val="000000"/>
        </w:rPr>
        <w:t>Three tiers, escalating: automatic retry with backoff for transient failures (a flaky API call), saga-style compensation for partial multi-step failures (Section 11.2's increment-by-increment rollback), and escalation to a human gate when retries exhaust — the platform never silently gives up or silently keeps trying forever.</w:t>
      </w:r>
    </w:p>
    <w:p w14:paraId="04F6CF6A" w14:textId="77777777" w:rsidR="00F62033" w:rsidRDefault="00000000">
      <w:pPr>
        <w:pStyle w:val="Heading2"/>
      </w:pPr>
      <w:bookmarkStart w:id="18" w:name="_Toc233489539"/>
      <w:r>
        <w:t>5.12 Metrics, Observability &amp; Governance</w:t>
      </w:r>
      <w:bookmarkEnd w:id="18"/>
    </w:p>
    <w:p w14:paraId="0B7FDB32" w14:textId="77777777" w:rsidR="00F62033" w:rsidRDefault="00000000">
      <w:pPr>
        <w:spacing w:after="140" w:line="290" w:lineRule="auto"/>
      </w:pPr>
      <w:r>
        <w:rPr>
          <w:color w:val="000000"/>
        </w:rPr>
        <w:t>Three audiences, three views of the same underlying event stream: engineers see task-level tracing (what did the agent actually do); engineering leadership sees DORA metrics aggregated across workflows; governance/compliance sees the audit trail filtered to gate decisions. One observability backbone, not three separate tools.</w:t>
      </w:r>
    </w:p>
    <w:p w14:paraId="4308BDCB" w14:textId="77777777" w:rsidR="00F62033" w:rsidRDefault="00F62033">
      <w:pPr>
        <w:spacing w:after="140"/>
      </w:pPr>
    </w:p>
    <w:p w14:paraId="4165EA2A" w14:textId="77777777" w:rsidR="00F62033" w:rsidRDefault="00000000">
      <w:pPr>
        <w:pStyle w:val="Heading1"/>
        <w:pageBreakBefore/>
      </w:pPr>
      <w:bookmarkStart w:id="19" w:name="_Toc233489540"/>
      <w:r>
        <w:lastRenderedPageBreak/>
        <w:t>6. Agent Contract</w:t>
      </w:r>
      <w:bookmarkEnd w:id="19"/>
    </w:p>
    <w:p w14:paraId="7DD529CA" w14:textId="77777777" w:rsidR="00F62033" w:rsidRDefault="00000000">
      <w:pPr>
        <w:spacing w:after="140" w:line="290" w:lineRule="auto"/>
      </w:pPr>
      <w:r>
        <w:rPr>
          <w:color w:val="000000"/>
        </w:rPr>
        <w:t>Every specialist agent — present or future — implements the same contract shape. This uniformity is what makes Section 5.1's “plug in without touching the core” claim real rather than marketing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7"/>
        <w:gridCol w:w="2641"/>
        <w:gridCol w:w="4352"/>
      </w:tblGrid>
      <w:tr w:rsidR="00F62033" w14:paraId="30E2460C"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75B13718" w14:textId="77777777" w:rsidR="00F62033" w:rsidRDefault="00000000">
            <w:r>
              <w:rPr>
                <w:b/>
                <w:bCs/>
                <w:color w:val="FFFFFF"/>
                <w:sz w:val="18"/>
                <w:szCs w:val="18"/>
              </w:rPr>
              <w:t>Field</w:t>
            </w:r>
          </w:p>
        </w:tc>
        <w:tc>
          <w:tcPr>
            <w:tcW w:w="270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2A9B98B8" w14:textId="77777777" w:rsidR="00F62033" w:rsidRDefault="00000000">
            <w:r>
              <w:rPr>
                <w:b/>
                <w:bCs/>
                <w:color w:val="FFFFFF"/>
                <w:sz w:val="18"/>
                <w:szCs w:val="18"/>
              </w:rPr>
              <w:t>Type</w:t>
            </w:r>
          </w:p>
        </w:tc>
        <w:tc>
          <w:tcPr>
            <w:tcW w:w="446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2E3E8E35" w14:textId="77777777" w:rsidR="00F62033" w:rsidRDefault="00000000">
            <w:r>
              <w:rPr>
                <w:b/>
                <w:bCs/>
                <w:color w:val="FFFFFF"/>
                <w:sz w:val="18"/>
                <w:szCs w:val="18"/>
              </w:rPr>
              <w:t>Purpose</w:t>
            </w:r>
          </w:p>
        </w:tc>
      </w:tr>
      <w:tr w:rsidR="00F62033" w14:paraId="3466871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73A5F613" w14:textId="77777777" w:rsidR="00F62033" w:rsidRDefault="00000000">
            <w:proofErr w:type="spellStart"/>
            <w:r>
              <w:rPr>
                <w:b/>
                <w:bCs/>
                <w:color w:val="000000"/>
                <w:sz w:val="19"/>
                <w:szCs w:val="19"/>
              </w:rPr>
              <w:t>agent_id</w:t>
            </w:r>
            <w:proofErr w:type="spellEnd"/>
          </w:p>
        </w:tc>
        <w:tc>
          <w:tcPr>
            <w:tcW w:w="27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40DE2E30" w14:textId="77777777" w:rsidR="00F62033" w:rsidRDefault="00000000">
            <w:r>
              <w:rPr>
                <w:color w:val="000000"/>
                <w:sz w:val="19"/>
                <w:szCs w:val="19"/>
              </w:rPr>
              <w:t>string (unique)</w:t>
            </w:r>
          </w:p>
        </w:tc>
        <w:tc>
          <w:tcPr>
            <w:tcW w:w="44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269EC7DF" w14:textId="77777777" w:rsidR="00F62033" w:rsidRDefault="00000000">
            <w:r>
              <w:rPr>
                <w:color w:val="000000"/>
                <w:sz w:val="19"/>
                <w:szCs w:val="19"/>
              </w:rPr>
              <w:t>Stable identity used in registry lookups and audit records</w:t>
            </w:r>
          </w:p>
        </w:tc>
      </w:tr>
      <w:tr w:rsidR="00F62033" w14:paraId="7CAE078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5C591EFF" w14:textId="77777777" w:rsidR="00F62033" w:rsidRDefault="00000000">
            <w:r>
              <w:rPr>
                <w:b/>
                <w:bCs/>
                <w:color w:val="000000"/>
                <w:sz w:val="19"/>
                <w:szCs w:val="19"/>
              </w:rPr>
              <w:t>capabilities</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62070BD4" w14:textId="77777777" w:rsidR="00F62033" w:rsidRDefault="00000000">
            <w:proofErr w:type="gramStart"/>
            <w:r>
              <w:rPr>
                <w:color w:val="000000"/>
                <w:sz w:val="19"/>
                <w:szCs w:val="19"/>
              </w:rPr>
              <w:t>string[</w:t>
            </w:r>
            <w:proofErr w:type="gramEnd"/>
            <w:r>
              <w:rPr>
                <w:color w:val="000000"/>
                <w:sz w:val="19"/>
                <w:szCs w:val="19"/>
              </w:rPr>
              <w:t>] (tags)</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435DB322" w14:textId="77777777" w:rsidR="00F62033" w:rsidRDefault="00000000">
            <w:r>
              <w:rPr>
                <w:color w:val="000000"/>
                <w:sz w:val="19"/>
                <w:szCs w:val="19"/>
              </w:rPr>
              <w:t>What the orchestrator's Agent Selector matches against — e.g. “generates-unit-tests”</w:t>
            </w:r>
          </w:p>
        </w:tc>
      </w:tr>
      <w:tr w:rsidR="00F62033" w14:paraId="2086901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B62A5C6" w14:textId="77777777" w:rsidR="00F62033" w:rsidRDefault="00000000">
            <w:proofErr w:type="spellStart"/>
            <w:r>
              <w:rPr>
                <w:b/>
                <w:bCs/>
                <w:color w:val="000000"/>
                <w:sz w:val="19"/>
                <w:szCs w:val="19"/>
              </w:rPr>
              <w:t>input_schema</w:t>
            </w:r>
            <w:proofErr w:type="spellEnd"/>
          </w:p>
        </w:tc>
        <w:tc>
          <w:tcPr>
            <w:tcW w:w="27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527E628A" w14:textId="77777777" w:rsidR="00F62033" w:rsidRDefault="00000000">
            <w:r>
              <w:rPr>
                <w:color w:val="000000"/>
                <w:sz w:val="19"/>
                <w:szCs w:val="19"/>
              </w:rPr>
              <w:t>schema reference</w:t>
            </w:r>
          </w:p>
        </w:tc>
        <w:tc>
          <w:tcPr>
            <w:tcW w:w="44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55971828" w14:textId="77777777" w:rsidR="00F62033" w:rsidRDefault="00000000">
            <w:r>
              <w:rPr>
                <w:color w:val="000000"/>
                <w:sz w:val="19"/>
                <w:szCs w:val="19"/>
              </w:rPr>
              <w:t>Shape of the context packet this agent expects (see Task Schema, Section 8)</w:t>
            </w:r>
          </w:p>
        </w:tc>
      </w:tr>
      <w:tr w:rsidR="00F62033" w14:paraId="5B2307C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6551DEB3" w14:textId="77777777" w:rsidR="00F62033" w:rsidRDefault="00000000">
            <w:proofErr w:type="spellStart"/>
            <w:r>
              <w:rPr>
                <w:b/>
                <w:bCs/>
                <w:color w:val="000000"/>
                <w:sz w:val="19"/>
                <w:szCs w:val="19"/>
              </w:rPr>
              <w:t>output_schema</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10D962E7" w14:textId="77777777" w:rsidR="00F62033" w:rsidRDefault="00000000">
            <w:r>
              <w:rPr>
                <w:color w:val="000000"/>
                <w:sz w:val="19"/>
                <w:szCs w:val="19"/>
              </w:rPr>
              <w:t>schema reference</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7EB404A4" w14:textId="77777777" w:rsidR="00F62033" w:rsidRDefault="00000000">
            <w:r>
              <w:rPr>
                <w:color w:val="000000"/>
                <w:sz w:val="19"/>
                <w:szCs w:val="19"/>
              </w:rPr>
              <w:t>Shape of the result this agent publishes back to the Event Bus</w:t>
            </w:r>
          </w:p>
        </w:tc>
      </w:tr>
      <w:tr w:rsidR="00F62033" w14:paraId="405B714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69EE5567" w14:textId="77777777" w:rsidR="00F62033" w:rsidRDefault="00000000">
            <w:proofErr w:type="spellStart"/>
            <w:r>
              <w:rPr>
                <w:b/>
                <w:bCs/>
                <w:color w:val="000000"/>
                <w:sz w:val="19"/>
                <w:szCs w:val="19"/>
              </w:rPr>
              <w:t>required_tools</w:t>
            </w:r>
            <w:proofErr w:type="spellEnd"/>
          </w:p>
        </w:tc>
        <w:tc>
          <w:tcPr>
            <w:tcW w:w="27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774F30C6" w14:textId="77777777" w:rsidR="00F62033" w:rsidRDefault="00000000">
            <w:proofErr w:type="gramStart"/>
            <w:r>
              <w:rPr>
                <w:color w:val="000000"/>
                <w:sz w:val="19"/>
                <w:szCs w:val="19"/>
              </w:rPr>
              <w:t>string[</w:t>
            </w:r>
            <w:proofErr w:type="gramEnd"/>
            <w:r>
              <w:rPr>
                <w:color w:val="000000"/>
                <w:sz w:val="19"/>
                <w:szCs w:val="19"/>
              </w:rPr>
              <w:t>] (tool capability tags)</w:t>
            </w:r>
          </w:p>
        </w:tc>
        <w:tc>
          <w:tcPr>
            <w:tcW w:w="44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40F0C66" w14:textId="77777777" w:rsidR="00F62033" w:rsidRDefault="00000000">
            <w:r>
              <w:rPr>
                <w:color w:val="000000"/>
                <w:sz w:val="19"/>
                <w:szCs w:val="19"/>
              </w:rPr>
              <w:t>Which Tool Registry entries this agent needs resolved before it can run</w:t>
            </w:r>
          </w:p>
        </w:tc>
      </w:tr>
      <w:tr w:rsidR="00F62033" w14:paraId="0BDBED8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0F14C067" w14:textId="77777777" w:rsidR="00F62033" w:rsidRDefault="00000000">
            <w:proofErr w:type="spellStart"/>
            <w:r>
              <w:rPr>
                <w:b/>
                <w:bCs/>
                <w:color w:val="000000"/>
                <w:sz w:val="19"/>
                <w:szCs w:val="19"/>
              </w:rPr>
              <w:t>cost_class</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2A25F793" w14:textId="77777777" w:rsidR="00F62033" w:rsidRDefault="00000000">
            <w:proofErr w:type="spellStart"/>
            <w:r>
              <w:rPr>
                <w:color w:val="000000"/>
                <w:sz w:val="19"/>
                <w:szCs w:val="19"/>
              </w:rPr>
              <w:t>enum</w:t>
            </w:r>
            <w:proofErr w:type="spellEnd"/>
            <w:r>
              <w:rPr>
                <w:color w:val="000000"/>
                <w:sz w:val="19"/>
                <w:szCs w:val="19"/>
              </w:rPr>
              <w:t>: low / medium / high</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0D97992C" w14:textId="77777777" w:rsidR="00F62033" w:rsidRDefault="00000000">
            <w:r>
              <w:rPr>
                <w:color w:val="000000"/>
                <w:sz w:val="19"/>
                <w:szCs w:val="19"/>
              </w:rPr>
              <w:t>Default hint to the Model Router — overridable per task</w:t>
            </w:r>
          </w:p>
        </w:tc>
      </w:tr>
      <w:tr w:rsidR="00F62033" w14:paraId="21386B3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0F330A0A" w14:textId="77777777" w:rsidR="00F62033" w:rsidRDefault="00000000">
            <w:proofErr w:type="spellStart"/>
            <w:r>
              <w:rPr>
                <w:b/>
                <w:bCs/>
                <w:color w:val="000000"/>
                <w:sz w:val="19"/>
                <w:szCs w:val="19"/>
              </w:rPr>
              <w:t>approval_required</w:t>
            </w:r>
            <w:proofErr w:type="spellEnd"/>
          </w:p>
        </w:tc>
        <w:tc>
          <w:tcPr>
            <w:tcW w:w="27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414E080" w14:textId="77777777" w:rsidR="00F62033" w:rsidRDefault="00000000">
            <w:proofErr w:type="spellStart"/>
            <w:r>
              <w:rPr>
                <w:color w:val="000000"/>
                <w:sz w:val="19"/>
                <w:szCs w:val="19"/>
              </w:rPr>
              <w:t>boolean</w:t>
            </w:r>
            <w:proofErr w:type="spellEnd"/>
          </w:p>
        </w:tc>
        <w:tc>
          <w:tcPr>
            <w:tcW w:w="44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1FF55130" w14:textId="77777777" w:rsidR="00F62033" w:rsidRDefault="00000000">
            <w:r>
              <w:rPr>
                <w:color w:val="000000"/>
                <w:sz w:val="19"/>
                <w:szCs w:val="19"/>
              </w:rPr>
              <w:t>Whether this agent's output must pass a Human Approval Checkpoint before the next state transition</w:t>
            </w:r>
          </w:p>
        </w:tc>
      </w:tr>
      <w:tr w:rsidR="00F62033" w14:paraId="4AE0AF7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0C76E3F9" w14:textId="77777777" w:rsidR="00F62033" w:rsidRDefault="00000000">
            <w:proofErr w:type="spellStart"/>
            <w:r>
              <w:rPr>
                <w:b/>
                <w:bCs/>
                <w:color w:val="000000"/>
                <w:sz w:val="19"/>
                <w:szCs w:val="19"/>
              </w:rPr>
              <w:t>idempotency_key_strategy</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48146EA5" w14:textId="77777777" w:rsidR="00F62033" w:rsidRDefault="00000000">
            <w:r>
              <w:rPr>
                <w:color w:val="000000"/>
                <w:sz w:val="19"/>
                <w:szCs w:val="19"/>
              </w:rPr>
              <w:t>function reference</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52E589B4" w14:textId="77777777" w:rsidR="00F62033" w:rsidRDefault="00000000">
            <w:r>
              <w:rPr>
                <w:color w:val="000000"/>
                <w:sz w:val="19"/>
                <w:szCs w:val="19"/>
              </w:rPr>
              <w:t>How this agent ensures a retried invocation doesn't duplicate side effects</w:t>
            </w:r>
          </w:p>
        </w:tc>
      </w:tr>
    </w:tbl>
    <w:p w14:paraId="28B7F904" w14:textId="77777777" w:rsidR="00F62033" w:rsidRDefault="00F62033">
      <w:pPr>
        <w:spacing w:after="160"/>
      </w:pPr>
    </w:p>
    <w:p w14:paraId="34D8DC4E" w14:textId="77777777" w:rsidR="00F62033" w:rsidRDefault="00000000">
      <w:pPr>
        <w:pStyle w:val="Heading1"/>
        <w:pageBreakBefore/>
      </w:pPr>
      <w:bookmarkStart w:id="20" w:name="_Toc233489541"/>
      <w:r>
        <w:lastRenderedPageBreak/>
        <w:t>7. Tool Contract</w:t>
      </w:r>
      <w:bookmarkEnd w:id="20"/>
    </w:p>
    <w:p w14:paraId="7E886B9B" w14:textId="77777777" w:rsidR="00F62033" w:rsidRDefault="00000000">
      <w:pPr>
        <w:spacing w:after="140" w:line="290" w:lineRule="auto"/>
      </w:pPr>
      <w:r>
        <w:rPr>
          <w:color w:val="000000"/>
        </w:rPr>
        <w:t xml:space="preserve">Every external system integration — GitHub, Azure DevOps, Jira, Confluence, Kubernetes, Terraform, SonarQube, </w:t>
      </w:r>
      <w:proofErr w:type="spellStart"/>
      <w:r>
        <w:rPr>
          <w:color w:val="000000"/>
        </w:rPr>
        <w:t>Snyk</w:t>
      </w:r>
      <w:proofErr w:type="spellEnd"/>
      <w:r>
        <w:rPr>
          <w:color w:val="000000"/>
        </w:rPr>
        <w:t>, or a CI/CD platform — is wrapped identically, regardless of how different the underlying vendor API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4460"/>
      </w:tblGrid>
      <w:tr w:rsidR="00F62033" w14:paraId="3118AF4D"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52952041" w14:textId="77777777" w:rsidR="00F62033" w:rsidRDefault="00000000">
            <w:r>
              <w:rPr>
                <w:b/>
                <w:bCs/>
                <w:color w:val="FFFFFF"/>
                <w:sz w:val="18"/>
                <w:szCs w:val="18"/>
              </w:rPr>
              <w:t>Field</w:t>
            </w:r>
          </w:p>
        </w:tc>
        <w:tc>
          <w:tcPr>
            <w:tcW w:w="270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3E033CB3" w14:textId="77777777" w:rsidR="00F62033" w:rsidRDefault="00000000">
            <w:r>
              <w:rPr>
                <w:b/>
                <w:bCs/>
                <w:color w:val="FFFFFF"/>
                <w:sz w:val="18"/>
                <w:szCs w:val="18"/>
              </w:rPr>
              <w:t>Type</w:t>
            </w:r>
          </w:p>
        </w:tc>
        <w:tc>
          <w:tcPr>
            <w:tcW w:w="446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1D3C65C3" w14:textId="77777777" w:rsidR="00F62033" w:rsidRDefault="00000000">
            <w:r>
              <w:rPr>
                <w:b/>
                <w:bCs/>
                <w:color w:val="FFFFFF"/>
                <w:sz w:val="18"/>
                <w:szCs w:val="18"/>
              </w:rPr>
              <w:t>Purpose</w:t>
            </w:r>
          </w:p>
        </w:tc>
      </w:tr>
      <w:tr w:rsidR="00F62033" w14:paraId="3E223D6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1B09DF10" w14:textId="77777777" w:rsidR="00F62033" w:rsidRDefault="00000000">
            <w:proofErr w:type="spellStart"/>
            <w:r>
              <w:rPr>
                <w:b/>
                <w:bCs/>
                <w:color w:val="000000"/>
                <w:sz w:val="19"/>
                <w:szCs w:val="19"/>
              </w:rPr>
              <w:t>tool_id</w:t>
            </w:r>
            <w:proofErr w:type="spellEnd"/>
          </w:p>
        </w:tc>
        <w:tc>
          <w:tcPr>
            <w:tcW w:w="27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64BF243B" w14:textId="77777777" w:rsidR="00F62033" w:rsidRDefault="00000000">
            <w:r>
              <w:rPr>
                <w:color w:val="000000"/>
                <w:sz w:val="19"/>
                <w:szCs w:val="19"/>
              </w:rPr>
              <w:t>string (unique)</w:t>
            </w:r>
          </w:p>
        </w:tc>
        <w:tc>
          <w:tcPr>
            <w:tcW w:w="44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13DDC6D9" w14:textId="77777777" w:rsidR="00F62033" w:rsidRDefault="00000000">
            <w:r>
              <w:rPr>
                <w:color w:val="000000"/>
                <w:sz w:val="19"/>
                <w:szCs w:val="19"/>
              </w:rPr>
              <w:t>Stable identity, e.g. “</w:t>
            </w:r>
            <w:proofErr w:type="spellStart"/>
            <w:r>
              <w:rPr>
                <w:color w:val="000000"/>
                <w:sz w:val="19"/>
                <w:szCs w:val="19"/>
              </w:rPr>
              <w:t>github</w:t>
            </w:r>
            <w:proofErr w:type="spellEnd"/>
            <w:r>
              <w:rPr>
                <w:color w:val="000000"/>
                <w:sz w:val="19"/>
                <w:szCs w:val="19"/>
              </w:rPr>
              <w:t>-prod” or “azure-</w:t>
            </w:r>
            <w:proofErr w:type="spellStart"/>
            <w:r>
              <w:rPr>
                <w:color w:val="000000"/>
                <w:sz w:val="19"/>
                <w:szCs w:val="19"/>
              </w:rPr>
              <w:t>devops</w:t>
            </w:r>
            <w:proofErr w:type="spellEnd"/>
            <w:r>
              <w:rPr>
                <w:color w:val="000000"/>
                <w:sz w:val="19"/>
                <w:szCs w:val="19"/>
              </w:rPr>
              <w:t>-tenant-a”</w:t>
            </w:r>
          </w:p>
        </w:tc>
      </w:tr>
      <w:tr w:rsidR="00F62033" w14:paraId="6A827BD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4299CE8A" w14:textId="77777777" w:rsidR="00F62033" w:rsidRDefault="00000000">
            <w:proofErr w:type="spellStart"/>
            <w:r>
              <w:rPr>
                <w:b/>
                <w:bCs/>
                <w:color w:val="000000"/>
                <w:sz w:val="19"/>
                <w:szCs w:val="19"/>
              </w:rPr>
              <w:t>capability_tags</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21955A3A" w14:textId="77777777" w:rsidR="00F62033" w:rsidRDefault="00000000">
            <w:proofErr w:type="gramStart"/>
            <w:r>
              <w:rPr>
                <w:color w:val="000000"/>
                <w:sz w:val="19"/>
                <w:szCs w:val="19"/>
              </w:rPr>
              <w:t>string[</w:t>
            </w:r>
            <w:proofErr w:type="gramEnd"/>
            <w:r>
              <w:rPr>
                <w:color w:val="000000"/>
                <w:sz w:val="19"/>
                <w:szCs w:val="19"/>
              </w:rPr>
              <w:t>]</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79B33198" w14:textId="77777777" w:rsidR="00F62033" w:rsidRDefault="00000000">
            <w:r>
              <w:rPr>
                <w:color w:val="000000"/>
                <w:sz w:val="19"/>
                <w:szCs w:val="19"/>
              </w:rPr>
              <w:t>What an agent requests — e.g. “create-pull-request” — resolved to this concrete tool</w:t>
            </w:r>
          </w:p>
        </w:tc>
      </w:tr>
      <w:tr w:rsidR="00F62033" w14:paraId="075F4E1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2AD5EF67" w14:textId="77777777" w:rsidR="00F62033" w:rsidRDefault="00000000">
            <w:proofErr w:type="spellStart"/>
            <w:r>
              <w:rPr>
                <w:b/>
                <w:bCs/>
                <w:color w:val="000000"/>
                <w:sz w:val="19"/>
                <w:szCs w:val="19"/>
              </w:rPr>
              <w:t>auth_strategy</w:t>
            </w:r>
            <w:proofErr w:type="spellEnd"/>
          </w:p>
        </w:tc>
        <w:tc>
          <w:tcPr>
            <w:tcW w:w="27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6C4E0567" w14:textId="77777777" w:rsidR="00F62033" w:rsidRDefault="00000000">
            <w:proofErr w:type="spellStart"/>
            <w:r>
              <w:rPr>
                <w:color w:val="000000"/>
                <w:sz w:val="19"/>
                <w:szCs w:val="19"/>
              </w:rPr>
              <w:t>enum</w:t>
            </w:r>
            <w:proofErr w:type="spellEnd"/>
            <w:r>
              <w:rPr>
                <w:color w:val="000000"/>
                <w:sz w:val="19"/>
                <w:szCs w:val="19"/>
              </w:rPr>
              <w:t>: OAuth / PAT / managed-identity</w:t>
            </w:r>
          </w:p>
        </w:tc>
        <w:tc>
          <w:tcPr>
            <w:tcW w:w="44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08322919" w14:textId="77777777" w:rsidR="00F62033" w:rsidRDefault="00000000">
            <w:r>
              <w:rPr>
                <w:color w:val="000000"/>
                <w:sz w:val="19"/>
                <w:szCs w:val="19"/>
              </w:rPr>
              <w:t>How the Secrets Vault issues a scoped, short-lived credential for this tool</w:t>
            </w:r>
          </w:p>
        </w:tc>
      </w:tr>
      <w:tr w:rsidR="00F62033" w14:paraId="5F9E32D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6E44AAEA" w14:textId="77777777" w:rsidR="00F62033" w:rsidRDefault="00000000">
            <w:r>
              <w:rPr>
                <w:b/>
                <w:bCs/>
                <w:color w:val="000000"/>
                <w:sz w:val="19"/>
                <w:szCs w:val="19"/>
              </w:rPr>
              <w:t>scope</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5B5DC0ED" w14:textId="77777777" w:rsidR="00F62033" w:rsidRDefault="00000000">
            <w:proofErr w:type="spellStart"/>
            <w:r>
              <w:rPr>
                <w:color w:val="000000"/>
                <w:sz w:val="19"/>
                <w:szCs w:val="19"/>
              </w:rPr>
              <w:t>enum</w:t>
            </w:r>
            <w:proofErr w:type="spellEnd"/>
            <w:r>
              <w:rPr>
                <w:color w:val="000000"/>
                <w:sz w:val="19"/>
                <w:szCs w:val="19"/>
              </w:rPr>
              <w:t>: read / write / admin</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36BF2FEC" w14:textId="77777777" w:rsidR="00F62033" w:rsidRDefault="00000000">
            <w:r>
              <w:rPr>
                <w:color w:val="000000"/>
                <w:sz w:val="19"/>
                <w:szCs w:val="19"/>
              </w:rPr>
              <w:t>Least-privilege ceiling — enforced regardless of what the underlying credential could technically do</w:t>
            </w:r>
          </w:p>
        </w:tc>
      </w:tr>
      <w:tr w:rsidR="00F62033" w14:paraId="0F45A5B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53108412" w14:textId="77777777" w:rsidR="00F62033" w:rsidRDefault="00000000">
            <w:proofErr w:type="spellStart"/>
            <w:r>
              <w:rPr>
                <w:b/>
                <w:bCs/>
                <w:color w:val="000000"/>
                <w:sz w:val="19"/>
                <w:szCs w:val="19"/>
              </w:rPr>
              <w:t>rate_limit_policy</w:t>
            </w:r>
            <w:proofErr w:type="spellEnd"/>
          </w:p>
        </w:tc>
        <w:tc>
          <w:tcPr>
            <w:tcW w:w="27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BA781F4" w14:textId="77777777" w:rsidR="00F62033" w:rsidRDefault="00000000">
            <w:r>
              <w:rPr>
                <w:color w:val="000000"/>
                <w:sz w:val="19"/>
                <w:szCs w:val="19"/>
              </w:rPr>
              <w:t>object</w:t>
            </w:r>
          </w:p>
        </w:tc>
        <w:tc>
          <w:tcPr>
            <w:tcW w:w="44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24313832" w14:textId="77777777" w:rsidR="00F62033" w:rsidRDefault="00000000">
            <w:r>
              <w:rPr>
                <w:color w:val="000000"/>
                <w:sz w:val="19"/>
                <w:szCs w:val="19"/>
              </w:rPr>
              <w:t>Prevents one tenant's agent activity from exhausting a shared API quota</w:t>
            </w:r>
          </w:p>
        </w:tc>
      </w:tr>
      <w:tr w:rsidR="00F62033" w14:paraId="2E9624F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7DF419C0" w14:textId="77777777" w:rsidR="00F62033" w:rsidRDefault="00000000">
            <w:proofErr w:type="spellStart"/>
            <w:r>
              <w:rPr>
                <w:b/>
                <w:bCs/>
                <w:color w:val="000000"/>
                <w:sz w:val="19"/>
                <w:szCs w:val="19"/>
              </w:rPr>
              <w:t>response_normaliser</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188CCFA4" w14:textId="77777777" w:rsidR="00F62033" w:rsidRDefault="00000000">
            <w:r>
              <w:rPr>
                <w:color w:val="000000"/>
                <w:sz w:val="19"/>
                <w:szCs w:val="19"/>
              </w:rPr>
              <w:t>function reference</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6D0687D7" w14:textId="77777777" w:rsidR="00F62033" w:rsidRDefault="00000000">
            <w:r>
              <w:rPr>
                <w:color w:val="000000"/>
                <w:sz w:val="19"/>
                <w:szCs w:val="19"/>
              </w:rPr>
              <w:t>Maps vendor-specific responses to a common shape agents consume — this is what makes swapping Jira for Azure DevOps Boards invisible to agent logic</w:t>
            </w:r>
          </w:p>
        </w:tc>
      </w:tr>
    </w:tbl>
    <w:p w14:paraId="5114D3E6" w14:textId="77777777" w:rsidR="00F62033" w:rsidRDefault="00F62033">
      <w:pPr>
        <w:spacing w:after="160"/>
      </w:pPr>
    </w:p>
    <w:p w14:paraId="2711F2ED" w14:textId="77777777" w:rsidR="00F62033" w:rsidRDefault="00000000">
      <w:pPr>
        <w:pStyle w:val="Heading1"/>
        <w:pageBreakBefore/>
      </w:pPr>
      <w:bookmarkStart w:id="21" w:name="_Toc233489542"/>
      <w:r>
        <w:lastRenderedPageBreak/>
        <w:t>8. Task Schema</w:t>
      </w:r>
      <w:bookmarkEnd w:id="21"/>
    </w:p>
    <w:p w14:paraId="76A135CD" w14:textId="77777777" w:rsidR="00F62033" w:rsidRDefault="00000000">
      <w:pPr>
        <w:spacing w:after="140" w:line="290" w:lineRule="auto"/>
      </w:pPr>
      <w:r>
        <w:rPr>
          <w:color w:val="000000"/>
        </w:rPr>
        <w:t>The unit of work passed between the orchestrator and any specialist agent. Every workflow in Section 11 is a sequence of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4460"/>
      </w:tblGrid>
      <w:tr w:rsidR="00F62033" w14:paraId="0FE60257"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2199F329" w14:textId="77777777" w:rsidR="00F62033" w:rsidRDefault="00000000">
            <w:r>
              <w:rPr>
                <w:b/>
                <w:bCs/>
                <w:color w:val="FFFFFF"/>
                <w:sz w:val="18"/>
                <w:szCs w:val="18"/>
              </w:rPr>
              <w:t>Field</w:t>
            </w:r>
          </w:p>
        </w:tc>
        <w:tc>
          <w:tcPr>
            <w:tcW w:w="270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2A121EC6" w14:textId="77777777" w:rsidR="00F62033" w:rsidRDefault="00000000">
            <w:r>
              <w:rPr>
                <w:b/>
                <w:bCs/>
                <w:color w:val="FFFFFF"/>
                <w:sz w:val="18"/>
                <w:szCs w:val="18"/>
              </w:rPr>
              <w:t>Type</w:t>
            </w:r>
          </w:p>
        </w:tc>
        <w:tc>
          <w:tcPr>
            <w:tcW w:w="446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14335239" w14:textId="77777777" w:rsidR="00F62033" w:rsidRDefault="00000000">
            <w:r>
              <w:rPr>
                <w:b/>
                <w:bCs/>
                <w:color w:val="FFFFFF"/>
                <w:sz w:val="18"/>
                <w:szCs w:val="18"/>
              </w:rPr>
              <w:t>Purpose</w:t>
            </w:r>
          </w:p>
        </w:tc>
      </w:tr>
      <w:tr w:rsidR="00F62033" w14:paraId="28CA474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05F48ED6" w14:textId="77777777" w:rsidR="00F62033" w:rsidRDefault="00000000">
            <w:proofErr w:type="spellStart"/>
            <w:r>
              <w:rPr>
                <w:b/>
                <w:bCs/>
                <w:color w:val="000000"/>
                <w:sz w:val="19"/>
                <w:szCs w:val="19"/>
              </w:rPr>
              <w:t>task_id</w:t>
            </w:r>
            <w:proofErr w:type="spellEnd"/>
          </w:p>
        </w:tc>
        <w:tc>
          <w:tcPr>
            <w:tcW w:w="27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1218694F" w14:textId="77777777" w:rsidR="00F62033" w:rsidRDefault="00000000">
            <w:r>
              <w:rPr>
                <w:color w:val="000000"/>
                <w:sz w:val="19"/>
                <w:szCs w:val="19"/>
              </w:rPr>
              <w:t>string (unique)</w:t>
            </w:r>
          </w:p>
        </w:tc>
        <w:tc>
          <w:tcPr>
            <w:tcW w:w="44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4D8CACB4" w14:textId="77777777" w:rsidR="00F62033" w:rsidRDefault="00000000">
            <w:r>
              <w:rPr>
                <w:color w:val="000000"/>
                <w:sz w:val="19"/>
                <w:szCs w:val="19"/>
              </w:rPr>
              <w:t>Correlates this task across events, logs, and audit records</w:t>
            </w:r>
          </w:p>
        </w:tc>
      </w:tr>
      <w:tr w:rsidR="00F62033" w14:paraId="21A96DA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731DA9D0" w14:textId="77777777" w:rsidR="00F62033" w:rsidRDefault="00000000">
            <w:proofErr w:type="spellStart"/>
            <w:r>
              <w:rPr>
                <w:b/>
                <w:bCs/>
                <w:color w:val="000000"/>
                <w:sz w:val="19"/>
                <w:szCs w:val="19"/>
              </w:rPr>
              <w:t>workflow_run_id</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540878C9" w14:textId="77777777" w:rsidR="00F62033" w:rsidRDefault="00000000">
            <w:r>
              <w:rPr>
                <w:color w:val="000000"/>
                <w:sz w:val="19"/>
                <w:szCs w:val="19"/>
              </w:rPr>
              <w:t>string</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640EAA55" w14:textId="77777777" w:rsidR="00F62033" w:rsidRDefault="00000000">
            <w:r>
              <w:rPr>
                <w:color w:val="000000"/>
                <w:sz w:val="19"/>
                <w:szCs w:val="19"/>
              </w:rPr>
              <w:t>Which end-to-end workflow instance this task belongs to</w:t>
            </w:r>
          </w:p>
        </w:tc>
      </w:tr>
      <w:tr w:rsidR="00F62033" w14:paraId="2A927CD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7BDF586E" w14:textId="77777777" w:rsidR="00F62033" w:rsidRDefault="00000000">
            <w:proofErr w:type="spellStart"/>
            <w:r>
              <w:rPr>
                <w:b/>
                <w:bCs/>
                <w:color w:val="000000"/>
                <w:sz w:val="19"/>
                <w:szCs w:val="19"/>
              </w:rPr>
              <w:t>workflow_type</w:t>
            </w:r>
            <w:proofErr w:type="spellEnd"/>
          </w:p>
        </w:tc>
        <w:tc>
          <w:tcPr>
            <w:tcW w:w="27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425074D6" w14:textId="77777777" w:rsidR="00F62033" w:rsidRDefault="00000000">
            <w:proofErr w:type="spellStart"/>
            <w:r>
              <w:rPr>
                <w:color w:val="000000"/>
                <w:sz w:val="19"/>
                <w:szCs w:val="19"/>
              </w:rPr>
              <w:t>enum</w:t>
            </w:r>
            <w:proofErr w:type="spellEnd"/>
            <w:r>
              <w:rPr>
                <w:color w:val="000000"/>
                <w:sz w:val="19"/>
                <w:szCs w:val="19"/>
              </w:rPr>
              <w:t xml:space="preserve"> (Section 11 list)</w:t>
            </w:r>
          </w:p>
        </w:tc>
        <w:tc>
          <w:tcPr>
            <w:tcW w:w="44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239F1FC5" w14:textId="77777777" w:rsidR="00F62033" w:rsidRDefault="00000000">
            <w:r>
              <w:rPr>
                <w:color w:val="000000"/>
                <w:sz w:val="19"/>
                <w:szCs w:val="19"/>
              </w:rPr>
              <w:t>Greenfield, Brownfield, defect-resolution, etc. — selects the state machine template</w:t>
            </w:r>
          </w:p>
        </w:tc>
      </w:tr>
      <w:tr w:rsidR="00F62033" w14:paraId="299D41B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50CD223F" w14:textId="77777777" w:rsidR="00F62033" w:rsidRDefault="00000000">
            <w:r>
              <w:rPr>
                <w:b/>
                <w:bCs/>
                <w:color w:val="000000"/>
                <w:sz w:val="19"/>
                <w:szCs w:val="19"/>
              </w:rPr>
              <w:t>context</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68A79D4E" w14:textId="77777777" w:rsidR="00F62033" w:rsidRDefault="00000000">
            <w:r>
              <w:rPr>
                <w:color w:val="000000"/>
                <w:sz w:val="19"/>
                <w:szCs w:val="19"/>
              </w:rPr>
              <w:t>object</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014AB20D" w14:textId="77777777" w:rsidR="00F62033" w:rsidRDefault="00000000">
            <w:r>
              <w:rPr>
                <w:color w:val="000000"/>
                <w:sz w:val="19"/>
                <w:szCs w:val="19"/>
              </w:rPr>
              <w:t>The working-context packet assembled by the Context Assembler — prior agent outputs relevant to this task</w:t>
            </w:r>
          </w:p>
        </w:tc>
      </w:tr>
      <w:tr w:rsidR="00F62033" w14:paraId="6CDD6D5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10EFBF2A" w14:textId="77777777" w:rsidR="00F62033" w:rsidRDefault="00000000">
            <w:proofErr w:type="spellStart"/>
            <w:r>
              <w:rPr>
                <w:b/>
                <w:bCs/>
                <w:color w:val="000000"/>
                <w:sz w:val="19"/>
                <w:szCs w:val="19"/>
              </w:rPr>
              <w:t>assigned_agent_id</w:t>
            </w:r>
            <w:proofErr w:type="spellEnd"/>
          </w:p>
        </w:tc>
        <w:tc>
          <w:tcPr>
            <w:tcW w:w="27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58856285" w14:textId="77777777" w:rsidR="00F62033" w:rsidRDefault="00000000">
            <w:r>
              <w:rPr>
                <w:color w:val="000000"/>
                <w:sz w:val="19"/>
                <w:szCs w:val="19"/>
              </w:rPr>
              <w:t>string</w:t>
            </w:r>
          </w:p>
        </w:tc>
        <w:tc>
          <w:tcPr>
            <w:tcW w:w="44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1021699D" w14:textId="77777777" w:rsidR="00F62033" w:rsidRDefault="00000000">
            <w:r>
              <w:rPr>
                <w:color w:val="000000"/>
                <w:sz w:val="19"/>
                <w:szCs w:val="19"/>
              </w:rPr>
              <w:t>Resolved by the Agent Selector against the Agent Registry</w:t>
            </w:r>
          </w:p>
        </w:tc>
      </w:tr>
      <w:tr w:rsidR="00F62033" w14:paraId="44DF0AC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05B9BE57" w14:textId="77777777" w:rsidR="00F62033" w:rsidRDefault="00000000">
            <w:r>
              <w:rPr>
                <w:b/>
                <w:bCs/>
                <w:color w:val="000000"/>
                <w:sz w:val="19"/>
                <w:szCs w:val="19"/>
              </w:rPr>
              <w:t>state</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41C7C794" w14:textId="77777777" w:rsidR="00F62033" w:rsidRDefault="00000000">
            <w:proofErr w:type="spellStart"/>
            <w:r>
              <w:rPr>
                <w:color w:val="000000"/>
                <w:sz w:val="19"/>
                <w:szCs w:val="19"/>
              </w:rPr>
              <w:t>enum</w:t>
            </w:r>
            <w:proofErr w:type="spellEnd"/>
            <w:r>
              <w:rPr>
                <w:color w:val="000000"/>
                <w:sz w:val="19"/>
                <w:szCs w:val="19"/>
              </w:rPr>
              <w:t xml:space="preserve"> (per workflow)</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2840468B" w14:textId="77777777" w:rsidR="00F62033" w:rsidRDefault="00000000">
            <w:r>
              <w:rPr>
                <w:color w:val="000000"/>
                <w:sz w:val="19"/>
                <w:szCs w:val="19"/>
              </w:rPr>
              <w:t>Current position in the workflow's state machine (Section 11 defines states per workflow)</w:t>
            </w:r>
          </w:p>
        </w:tc>
      </w:tr>
      <w:tr w:rsidR="00F62033" w14:paraId="559C2E9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BAE3F2D" w14:textId="77777777" w:rsidR="00F62033" w:rsidRDefault="00000000">
            <w:proofErr w:type="spellStart"/>
            <w:r>
              <w:rPr>
                <w:b/>
                <w:bCs/>
                <w:color w:val="000000"/>
                <w:sz w:val="19"/>
                <w:szCs w:val="19"/>
              </w:rPr>
              <w:t>retry_count</w:t>
            </w:r>
            <w:proofErr w:type="spellEnd"/>
          </w:p>
        </w:tc>
        <w:tc>
          <w:tcPr>
            <w:tcW w:w="27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26BA7FFC" w14:textId="77777777" w:rsidR="00F62033" w:rsidRDefault="00000000">
            <w:r>
              <w:rPr>
                <w:color w:val="000000"/>
                <w:sz w:val="19"/>
                <w:szCs w:val="19"/>
              </w:rPr>
              <w:t>integer</w:t>
            </w:r>
          </w:p>
        </w:tc>
        <w:tc>
          <w:tcPr>
            <w:tcW w:w="44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5BCCA9D5" w14:textId="77777777" w:rsidR="00F62033" w:rsidRDefault="00000000">
            <w:r>
              <w:rPr>
                <w:color w:val="000000"/>
                <w:sz w:val="19"/>
                <w:szCs w:val="19"/>
              </w:rPr>
              <w:t>Drives the Retry &amp; Compensation Manager's escalation decision</w:t>
            </w:r>
          </w:p>
        </w:tc>
      </w:tr>
      <w:tr w:rsidR="00F62033" w14:paraId="7D4019F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63B33083" w14:textId="77777777" w:rsidR="00F62033" w:rsidRDefault="00000000">
            <w:proofErr w:type="spellStart"/>
            <w:r>
              <w:rPr>
                <w:b/>
                <w:bCs/>
                <w:color w:val="000000"/>
                <w:sz w:val="19"/>
                <w:szCs w:val="19"/>
              </w:rPr>
              <w:t>approval_record</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6C590880" w14:textId="77777777" w:rsidR="00F62033" w:rsidRDefault="00000000">
            <w:r>
              <w:rPr>
                <w:color w:val="000000"/>
                <w:sz w:val="19"/>
                <w:szCs w:val="19"/>
              </w:rPr>
              <w:t>object | null</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2EA7FA75" w14:textId="77777777" w:rsidR="00F62033" w:rsidRDefault="00000000">
            <w:r>
              <w:rPr>
                <w:color w:val="000000"/>
                <w:sz w:val="19"/>
                <w:szCs w:val="19"/>
              </w:rPr>
              <w:t>Populated only once a Human Approval Checkpoint has been satisfied for this task</w:t>
            </w:r>
          </w:p>
        </w:tc>
      </w:tr>
    </w:tbl>
    <w:p w14:paraId="1F31132A" w14:textId="77777777" w:rsidR="00F62033" w:rsidRDefault="00F62033">
      <w:pPr>
        <w:spacing w:after="160"/>
      </w:pPr>
    </w:p>
    <w:p w14:paraId="38B9049B" w14:textId="77777777" w:rsidR="00F62033" w:rsidRDefault="00000000">
      <w:pPr>
        <w:pStyle w:val="Heading1"/>
        <w:pageBreakBefore/>
      </w:pPr>
      <w:bookmarkStart w:id="22" w:name="_Toc233489543"/>
      <w:r>
        <w:lastRenderedPageBreak/>
        <w:t>9. Memory Schema</w:t>
      </w:r>
      <w:bookmarkEnd w:id="22"/>
    </w:p>
    <w:p w14:paraId="2CF279B0" w14:textId="77777777" w:rsidR="00F62033" w:rsidRDefault="00000000">
      <w:pPr>
        <w:spacing w:after="140" w:line="290" w:lineRule="auto"/>
      </w:pPr>
      <w:r>
        <w:rPr>
          <w:color w:val="000000"/>
        </w:rPr>
        <w:t>Long-term memory is a vector store with structured metadata — retrieval is never a blind similarity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4460"/>
      </w:tblGrid>
      <w:tr w:rsidR="00F62033" w14:paraId="0F9A6182"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6D33246F" w14:textId="77777777" w:rsidR="00F62033" w:rsidRDefault="00000000">
            <w:r>
              <w:rPr>
                <w:b/>
                <w:bCs/>
                <w:color w:val="FFFFFF"/>
                <w:sz w:val="18"/>
                <w:szCs w:val="18"/>
              </w:rPr>
              <w:t>Field</w:t>
            </w:r>
          </w:p>
        </w:tc>
        <w:tc>
          <w:tcPr>
            <w:tcW w:w="270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5E09ABCF" w14:textId="77777777" w:rsidR="00F62033" w:rsidRDefault="00000000">
            <w:r>
              <w:rPr>
                <w:b/>
                <w:bCs/>
                <w:color w:val="FFFFFF"/>
                <w:sz w:val="18"/>
                <w:szCs w:val="18"/>
              </w:rPr>
              <w:t>Type</w:t>
            </w:r>
          </w:p>
        </w:tc>
        <w:tc>
          <w:tcPr>
            <w:tcW w:w="446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34111D36" w14:textId="77777777" w:rsidR="00F62033" w:rsidRDefault="00000000">
            <w:r>
              <w:rPr>
                <w:b/>
                <w:bCs/>
                <w:color w:val="FFFFFF"/>
                <w:sz w:val="18"/>
                <w:szCs w:val="18"/>
              </w:rPr>
              <w:t>Purpose</w:t>
            </w:r>
          </w:p>
        </w:tc>
      </w:tr>
      <w:tr w:rsidR="00F62033" w14:paraId="669F355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09B773E" w14:textId="77777777" w:rsidR="00F62033" w:rsidRDefault="00000000">
            <w:proofErr w:type="spellStart"/>
            <w:r>
              <w:rPr>
                <w:b/>
                <w:bCs/>
                <w:color w:val="000000"/>
                <w:sz w:val="19"/>
                <w:szCs w:val="19"/>
              </w:rPr>
              <w:t>memory_id</w:t>
            </w:r>
            <w:proofErr w:type="spellEnd"/>
          </w:p>
        </w:tc>
        <w:tc>
          <w:tcPr>
            <w:tcW w:w="27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573A5625" w14:textId="77777777" w:rsidR="00F62033" w:rsidRDefault="00000000">
            <w:r>
              <w:rPr>
                <w:color w:val="000000"/>
                <w:sz w:val="19"/>
                <w:szCs w:val="19"/>
              </w:rPr>
              <w:t>string (unique)</w:t>
            </w:r>
          </w:p>
        </w:tc>
        <w:tc>
          <w:tcPr>
            <w:tcW w:w="44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7407B45C" w14:textId="77777777" w:rsidR="00F62033" w:rsidRDefault="00000000">
            <w:r>
              <w:rPr>
                <w:color w:val="000000"/>
                <w:sz w:val="19"/>
                <w:szCs w:val="19"/>
              </w:rPr>
              <w:t>Stable identity for this memory entry</w:t>
            </w:r>
          </w:p>
        </w:tc>
      </w:tr>
      <w:tr w:rsidR="00F62033" w14:paraId="28F335D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04CE37A1" w14:textId="77777777" w:rsidR="00F62033" w:rsidRDefault="00000000">
            <w:r>
              <w:rPr>
                <w:b/>
                <w:bCs/>
                <w:color w:val="000000"/>
                <w:sz w:val="19"/>
                <w:szCs w:val="19"/>
              </w:rPr>
              <w:t>embedding</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7638D9FA" w14:textId="77777777" w:rsidR="00F62033" w:rsidRDefault="00000000">
            <w:r>
              <w:rPr>
                <w:color w:val="000000"/>
                <w:sz w:val="19"/>
                <w:szCs w:val="19"/>
              </w:rPr>
              <w:t>vector</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7E0F3863" w14:textId="77777777" w:rsidR="00F62033" w:rsidRDefault="00000000">
            <w:r>
              <w:rPr>
                <w:color w:val="000000"/>
                <w:sz w:val="19"/>
                <w:szCs w:val="19"/>
              </w:rPr>
              <w:t>Used for semantic similarity retrieval</w:t>
            </w:r>
          </w:p>
        </w:tc>
      </w:tr>
      <w:tr w:rsidR="00F62033" w14:paraId="70B26CA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15642C2E" w14:textId="77777777" w:rsidR="00F62033" w:rsidRDefault="00000000">
            <w:proofErr w:type="spellStart"/>
            <w:r>
              <w:rPr>
                <w:b/>
                <w:bCs/>
                <w:color w:val="000000"/>
                <w:sz w:val="19"/>
                <w:szCs w:val="19"/>
              </w:rPr>
              <w:t>source_type</w:t>
            </w:r>
            <w:proofErr w:type="spellEnd"/>
          </w:p>
        </w:tc>
        <w:tc>
          <w:tcPr>
            <w:tcW w:w="27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EFF9C5B" w14:textId="77777777" w:rsidR="00F62033" w:rsidRDefault="00000000">
            <w:proofErr w:type="spellStart"/>
            <w:r>
              <w:rPr>
                <w:color w:val="000000"/>
                <w:sz w:val="19"/>
                <w:szCs w:val="19"/>
              </w:rPr>
              <w:t>enum</w:t>
            </w:r>
            <w:proofErr w:type="spellEnd"/>
            <w:r>
              <w:rPr>
                <w:color w:val="000000"/>
                <w:sz w:val="19"/>
                <w:szCs w:val="19"/>
              </w:rPr>
              <w:t>: standard / ADR / incident / codebase</w:t>
            </w:r>
          </w:p>
        </w:tc>
        <w:tc>
          <w:tcPr>
            <w:tcW w:w="44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6F1E1903" w14:textId="77777777" w:rsidR="00F62033" w:rsidRDefault="00000000">
            <w:proofErr w:type="spellStart"/>
            <w:proofErr w:type="gramStart"/>
            <w:r>
              <w:rPr>
                <w:color w:val="000000"/>
                <w:sz w:val="19"/>
                <w:szCs w:val="19"/>
              </w:rPr>
              <w:t>Lets</w:t>
            </w:r>
            <w:proofErr w:type="spellEnd"/>
            <w:proofErr w:type="gramEnd"/>
            <w:r>
              <w:rPr>
                <w:color w:val="000000"/>
                <w:sz w:val="19"/>
                <w:szCs w:val="19"/>
              </w:rPr>
              <w:t xml:space="preserve"> an agent filter retrieval by what kind of memory it actually needs</w:t>
            </w:r>
          </w:p>
        </w:tc>
      </w:tr>
      <w:tr w:rsidR="00F62033" w14:paraId="14D45C1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07FEC6CB" w14:textId="77777777" w:rsidR="00F62033" w:rsidRDefault="00000000">
            <w:proofErr w:type="spellStart"/>
            <w:r>
              <w:rPr>
                <w:b/>
                <w:bCs/>
                <w:color w:val="000000"/>
                <w:sz w:val="19"/>
                <w:szCs w:val="19"/>
              </w:rPr>
              <w:t>tenant_id</w:t>
            </w:r>
            <w:proofErr w:type="spellEnd"/>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541D0CEC" w14:textId="77777777" w:rsidR="00F62033" w:rsidRDefault="00000000">
            <w:r>
              <w:rPr>
                <w:color w:val="000000"/>
                <w:sz w:val="19"/>
                <w:szCs w:val="19"/>
              </w:rPr>
              <w:t>string</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798595E5" w14:textId="77777777" w:rsidR="00F62033" w:rsidRDefault="00000000">
            <w:r>
              <w:rPr>
                <w:color w:val="000000"/>
                <w:sz w:val="19"/>
                <w:szCs w:val="19"/>
              </w:rPr>
              <w:t>Enforces the multi-tenancy isolation boundary at the memory layer itself, not just at the API layer</w:t>
            </w:r>
          </w:p>
        </w:tc>
      </w:tr>
      <w:tr w:rsidR="00F62033" w14:paraId="5EFDF27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1DCC4FA" w14:textId="77777777" w:rsidR="00F62033" w:rsidRDefault="00000000">
            <w:proofErr w:type="spellStart"/>
            <w:r>
              <w:rPr>
                <w:b/>
                <w:bCs/>
                <w:color w:val="000000"/>
                <w:sz w:val="19"/>
                <w:szCs w:val="19"/>
              </w:rPr>
              <w:t>recency_weight</w:t>
            </w:r>
            <w:proofErr w:type="spellEnd"/>
          </w:p>
        </w:tc>
        <w:tc>
          <w:tcPr>
            <w:tcW w:w="27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7D7D8BA0" w14:textId="77777777" w:rsidR="00F62033" w:rsidRDefault="00000000">
            <w:r>
              <w:rPr>
                <w:color w:val="000000"/>
                <w:sz w:val="19"/>
                <w:szCs w:val="19"/>
              </w:rPr>
              <w:t>float</w:t>
            </w:r>
          </w:p>
        </w:tc>
        <w:tc>
          <w:tcPr>
            <w:tcW w:w="44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54626D0A" w14:textId="77777777" w:rsidR="00F62033" w:rsidRDefault="00000000">
            <w:proofErr w:type="spellStart"/>
            <w:proofErr w:type="gramStart"/>
            <w:r>
              <w:rPr>
                <w:color w:val="000000"/>
                <w:sz w:val="19"/>
                <w:szCs w:val="19"/>
              </w:rPr>
              <w:t>Lets</w:t>
            </w:r>
            <w:proofErr w:type="spellEnd"/>
            <w:proofErr w:type="gramEnd"/>
            <w:r>
              <w:rPr>
                <w:color w:val="000000"/>
                <w:sz w:val="19"/>
                <w:szCs w:val="19"/>
              </w:rPr>
              <w:t xml:space="preserve"> newer architecture decisions outrank stale ones without deleting history</w:t>
            </w:r>
          </w:p>
        </w:tc>
      </w:tr>
      <w:tr w:rsidR="00F62033" w14:paraId="3DD5F27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4F4BDDA1" w14:textId="77777777" w:rsidR="00F62033" w:rsidRDefault="00000000">
            <w:r>
              <w:rPr>
                <w:b/>
                <w:bCs/>
                <w:color w:val="000000"/>
                <w:sz w:val="19"/>
                <w:szCs w:val="19"/>
              </w:rPr>
              <w:t>provenance</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2C8242E1" w14:textId="77777777" w:rsidR="00F62033" w:rsidRDefault="00000000">
            <w:r>
              <w:rPr>
                <w:color w:val="000000"/>
                <w:sz w:val="19"/>
                <w:szCs w:val="19"/>
              </w:rPr>
              <w:t>object</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1C4C7FF7" w14:textId="77777777" w:rsidR="00F62033" w:rsidRDefault="00000000">
            <w:r>
              <w:rPr>
                <w:color w:val="000000"/>
                <w:sz w:val="19"/>
                <w:szCs w:val="19"/>
              </w:rPr>
              <w:t>Which task/workflow run wrote this memory — makes long-term memory itself auditable</w:t>
            </w:r>
          </w:p>
        </w:tc>
      </w:tr>
    </w:tbl>
    <w:p w14:paraId="53C44B06" w14:textId="77777777" w:rsidR="00F62033" w:rsidRDefault="00F62033">
      <w:pPr>
        <w:spacing w:after="160"/>
      </w:pPr>
    </w:p>
    <w:p w14:paraId="2C7F0610" w14:textId="77777777" w:rsidR="00F62033" w:rsidRDefault="00000000">
      <w:pPr>
        <w:pStyle w:val="Heading1"/>
        <w:pageBreakBefore/>
      </w:pPr>
      <w:bookmarkStart w:id="23" w:name="_Toc233489544"/>
      <w:r>
        <w:lastRenderedPageBreak/>
        <w:t>10. Event Model</w:t>
      </w:r>
      <w:bookmarkEnd w:id="23"/>
    </w:p>
    <w:p w14:paraId="20186855" w14:textId="77777777" w:rsidR="00F62033" w:rsidRDefault="00000000">
      <w:pPr>
        <w:spacing w:after="140" w:line="290" w:lineRule="auto"/>
      </w:pPr>
      <w:r>
        <w:rPr>
          <w:color w:val="000000"/>
        </w:rPr>
        <w:t>Every event on the bus follows one envelope shape, regardless of which agent or service emits it. Specific event types below are the vocabulary specialist agents and the orchestrator use to coordinate without ever calling each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62033" w14:paraId="56CC9977"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63675A85" w14:textId="77777777" w:rsidR="00F62033" w:rsidRDefault="00000000">
            <w:r>
              <w:rPr>
                <w:b/>
                <w:bCs/>
                <w:color w:val="FFFFFF"/>
                <w:sz w:val="18"/>
                <w:szCs w:val="18"/>
              </w:rPr>
              <w:t>Envelope field</w:t>
            </w:r>
          </w:p>
        </w:tc>
        <w:tc>
          <w:tcPr>
            <w:tcW w:w="696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0F0891C3" w14:textId="77777777" w:rsidR="00F62033" w:rsidRDefault="00000000">
            <w:r>
              <w:rPr>
                <w:b/>
                <w:bCs/>
                <w:color w:val="FFFFFF"/>
                <w:sz w:val="18"/>
                <w:szCs w:val="18"/>
              </w:rPr>
              <w:t>Purpose</w:t>
            </w:r>
          </w:p>
        </w:tc>
      </w:tr>
      <w:tr w:rsidR="00F62033" w14:paraId="104F229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022849D8" w14:textId="77777777" w:rsidR="00F62033" w:rsidRDefault="00000000">
            <w:proofErr w:type="spellStart"/>
            <w:r>
              <w:rPr>
                <w:b/>
                <w:bCs/>
                <w:color w:val="000000"/>
                <w:sz w:val="19"/>
                <w:szCs w:val="19"/>
              </w:rPr>
              <w:t>event_id</w:t>
            </w:r>
            <w:proofErr w:type="spellEnd"/>
            <w:r>
              <w:rPr>
                <w:b/>
                <w:bCs/>
                <w:color w:val="000000"/>
                <w:sz w:val="19"/>
                <w:szCs w:val="19"/>
              </w:rPr>
              <w:t xml:space="preserve">, </w:t>
            </w:r>
            <w:proofErr w:type="spellStart"/>
            <w:r>
              <w:rPr>
                <w:b/>
                <w:bCs/>
                <w:color w:val="000000"/>
                <w:sz w:val="19"/>
                <w:szCs w:val="19"/>
              </w:rPr>
              <w:t>event_type</w:t>
            </w:r>
            <w:proofErr w:type="spellEnd"/>
            <w:r>
              <w:rPr>
                <w:b/>
                <w:bCs/>
                <w:color w:val="000000"/>
                <w:sz w:val="19"/>
                <w:szCs w:val="19"/>
              </w:rPr>
              <w:t>, timestamp</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5EA58E40" w14:textId="77777777" w:rsidR="00F62033" w:rsidRDefault="00000000">
            <w:r>
              <w:rPr>
                <w:color w:val="000000"/>
                <w:sz w:val="19"/>
                <w:szCs w:val="19"/>
              </w:rPr>
              <w:t>Standard identity and ordering metadata</w:t>
            </w:r>
          </w:p>
        </w:tc>
      </w:tr>
      <w:tr w:rsidR="00F62033" w14:paraId="4A0F4DE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46EED691" w14:textId="77777777" w:rsidR="00F62033" w:rsidRDefault="00000000">
            <w:proofErr w:type="spellStart"/>
            <w:r>
              <w:rPr>
                <w:b/>
                <w:bCs/>
                <w:color w:val="000000"/>
                <w:sz w:val="19"/>
                <w:szCs w:val="19"/>
              </w:rPr>
              <w:t>task_id</w:t>
            </w:r>
            <w:proofErr w:type="spellEnd"/>
            <w:r>
              <w:rPr>
                <w:b/>
                <w:bCs/>
                <w:color w:val="000000"/>
                <w:sz w:val="19"/>
                <w:szCs w:val="19"/>
              </w:rPr>
              <w:t xml:space="preserve">, </w:t>
            </w:r>
            <w:proofErr w:type="spellStart"/>
            <w:r>
              <w:rPr>
                <w:b/>
                <w:bCs/>
                <w:color w:val="000000"/>
                <w:sz w:val="19"/>
                <w:szCs w:val="19"/>
              </w:rPr>
              <w:t>workflow_run_id</w:t>
            </w:r>
            <w:proofErr w:type="spellEnd"/>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53AA5F1A" w14:textId="77777777" w:rsidR="00F62033" w:rsidRDefault="00000000">
            <w:r>
              <w:rPr>
                <w:color w:val="000000"/>
                <w:sz w:val="19"/>
                <w:szCs w:val="19"/>
              </w:rPr>
              <w:t>Correlates this event back to the Task Schema (Section 8) that triggered it</w:t>
            </w:r>
          </w:p>
        </w:tc>
      </w:tr>
      <w:tr w:rsidR="00F62033" w14:paraId="41A21E7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482C4825" w14:textId="77777777" w:rsidR="00F62033" w:rsidRDefault="00000000">
            <w:proofErr w:type="spellStart"/>
            <w:r>
              <w:rPr>
                <w:b/>
                <w:bCs/>
                <w:color w:val="000000"/>
                <w:sz w:val="19"/>
                <w:szCs w:val="19"/>
              </w:rPr>
              <w:t>emitted_by</w:t>
            </w:r>
            <w:proofErr w:type="spellEnd"/>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65D89A3E" w14:textId="77777777" w:rsidR="00F62033" w:rsidRDefault="00000000">
            <w:proofErr w:type="spellStart"/>
            <w:r>
              <w:rPr>
                <w:color w:val="000000"/>
                <w:sz w:val="19"/>
                <w:szCs w:val="19"/>
              </w:rPr>
              <w:t>agent_id</w:t>
            </w:r>
            <w:proofErr w:type="spellEnd"/>
            <w:r>
              <w:rPr>
                <w:color w:val="000000"/>
                <w:sz w:val="19"/>
                <w:szCs w:val="19"/>
              </w:rPr>
              <w:t xml:space="preserve"> or service name — always attributable, never anonymous</w:t>
            </w:r>
          </w:p>
        </w:tc>
      </w:tr>
      <w:tr w:rsidR="00F62033" w14:paraId="6EA9295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0377317E" w14:textId="77777777" w:rsidR="00F62033" w:rsidRDefault="00000000">
            <w:r>
              <w:rPr>
                <w:b/>
                <w:bCs/>
                <w:color w:val="000000"/>
                <w:sz w:val="19"/>
                <w:szCs w:val="19"/>
              </w:rPr>
              <w:t>payload</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0EB27117" w14:textId="77777777" w:rsidR="00F62033" w:rsidRDefault="00000000">
            <w:r>
              <w:rPr>
                <w:color w:val="000000"/>
                <w:sz w:val="19"/>
                <w:szCs w:val="19"/>
              </w:rPr>
              <w:t>Event-type-specific body (e.g. a diff, a test report, an approval decision)</w:t>
            </w:r>
          </w:p>
        </w:tc>
      </w:tr>
    </w:tbl>
    <w:p w14:paraId="6AA2D779" w14:textId="77777777" w:rsidR="00F62033" w:rsidRDefault="00F62033">
      <w:pPr>
        <w:spacing w:after="140"/>
      </w:pPr>
    </w:p>
    <w:p w14:paraId="04312F14" w14:textId="77777777" w:rsidR="00F62033" w:rsidRDefault="00000000">
      <w:pPr>
        <w:pStyle w:val="Heading2"/>
      </w:pPr>
      <w:bookmarkStart w:id="24" w:name="_Toc233489545"/>
      <w:r>
        <w:t>10.1 Core event types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62033" w14:paraId="4BAB8F5B"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6DE7B7E1" w14:textId="77777777" w:rsidR="00F62033" w:rsidRDefault="00000000">
            <w:r>
              <w:rPr>
                <w:b/>
                <w:bCs/>
                <w:color w:val="FFFFFF"/>
                <w:sz w:val="18"/>
                <w:szCs w:val="18"/>
              </w:rPr>
              <w:t>Event type</w:t>
            </w:r>
          </w:p>
        </w:tc>
        <w:tc>
          <w:tcPr>
            <w:tcW w:w="676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6D86139E" w14:textId="77777777" w:rsidR="00F62033" w:rsidRDefault="00000000">
            <w:r>
              <w:rPr>
                <w:b/>
                <w:bCs/>
                <w:color w:val="FFFFFF"/>
                <w:sz w:val="18"/>
                <w:szCs w:val="18"/>
              </w:rPr>
              <w:t>When it fires</w:t>
            </w:r>
          </w:p>
        </w:tc>
      </w:tr>
      <w:tr w:rsidR="00F62033" w14:paraId="16F5EE4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0FA772C0" w14:textId="77777777" w:rsidR="00F62033" w:rsidRDefault="00000000">
            <w:proofErr w:type="spellStart"/>
            <w:r>
              <w:rPr>
                <w:b/>
                <w:bCs/>
                <w:color w:val="000000"/>
                <w:sz w:val="19"/>
                <w:szCs w:val="19"/>
              </w:rPr>
              <w:t>TaskCreated</w:t>
            </w:r>
            <w:proofErr w:type="spellEnd"/>
          </w:p>
        </w:tc>
        <w:tc>
          <w:tcPr>
            <w:tcW w:w="67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25E9D750" w14:textId="77777777" w:rsidR="00F62033" w:rsidRDefault="00000000">
            <w:r>
              <w:rPr>
                <w:color w:val="000000"/>
                <w:sz w:val="19"/>
                <w:szCs w:val="19"/>
              </w:rPr>
              <w:t>Orchestrator decomposes a workflow step into a task and publishes it for the assigned agent</w:t>
            </w:r>
          </w:p>
        </w:tc>
      </w:tr>
      <w:tr w:rsidR="00F62033" w14:paraId="050D637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73C402CB" w14:textId="77777777" w:rsidR="00F62033" w:rsidRDefault="00000000">
            <w:proofErr w:type="spellStart"/>
            <w:r>
              <w:rPr>
                <w:b/>
                <w:bCs/>
                <w:color w:val="000000"/>
                <w:sz w:val="19"/>
                <w:szCs w:val="19"/>
              </w:rPr>
              <w:t>AgentStarted</w:t>
            </w:r>
            <w:proofErr w:type="spellEnd"/>
            <w:r>
              <w:rPr>
                <w:b/>
                <w:bCs/>
                <w:color w:val="000000"/>
                <w:sz w:val="19"/>
                <w:szCs w:val="19"/>
              </w:rPr>
              <w:t xml:space="preserve"> / </w:t>
            </w:r>
            <w:proofErr w:type="spellStart"/>
            <w:r>
              <w:rPr>
                <w:b/>
                <w:bCs/>
                <w:color w:val="000000"/>
                <w:sz w:val="19"/>
                <w:szCs w:val="19"/>
              </w:rPr>
              <w:t>AgentCompleted</w:t>
            </w:r>
            <w:proofErr w:type="spellEnd"/>
            <w:r>
              <w:rPr>
                <w:b/>
                <w:bCs/>
                <w:color w:val="000000"/>
                <w:sz w:val="19"/>
                <w:szCs w:val="19"/>
              </w:rPr>
              <w:t xml:space="preserve"> / </w:t>
            </w:r>
            <w:proofErr w:type="spellStart"/>
            <w:r>
              <w:rPr>
                <w:b/>
                <w:bCs/>
                <w:color w:val="000000"/>
                <w:sz w:val="19"/>
                <w:szCs w:val="19"/>
              </w:rPr>
              <w:t>AgentFailed</w:t>
            </w:r>
            <w:proofErr w:type="spellEnd"/>
          </w:p>
        </w:tc>
        <w:tc>
          <w:tcPr>
            <w:tcW w:w="67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41AC2B7E" w14:textId="77777777" w:rsidR="00F62033" w:rsidRDefault="00000000">
            <w:r>
              <w:rPr>
                <w:color w:val="000000"/>
                <w:sz w:val="19"/>
                <w:szCs w:val="19"/>
              </w:rPr>
              <w:t xml:space="preserve">Lifecycle of a specialist agent's execution — </w:t>
            </w:r>
            <w:proofErr w:type="spellStart"/>
            <w:r>
              <w:rPr>
                <w:color w:val="000000"/>
                <w:sz w:val="19"/>
                <w:szCs w:val="19"/>
              </w:rPr>
              <w:t>AgentFailed</w:t>
            </w:r>
            <w:proofErr w:type="spellEnd"/>
            <w:r>
              <w:rPr>
                <w:color w:val="000000"/>
                <w:sz w:val="19"/>
                <w:szCs w:val="19"/>
              </w:rPr>
              <w:t xml:space="preserve"> triggers the Retry &amp; Compensation Manager</w:t>
            </w:r>
          </w:p>
        </w:tc>
      </w:tr>
      <w:tr w:rsidR="00F62033" w14:paraId="6ECEA0A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6DAD3B72" w14:textId="77777777" w:rsidR="00F62033" w:rsidRDefault="00000000">
            <w:proofErr w:type="spellStart"/>
            <w:r>
              <w:rPr>
                <w:b/>
                <w:bCs/>
                <w:color w:val="000000"/>
                <w:sz w:val="19"/>
                <w:szCs w:val="19"/>
              </w:rPr>
              <w:t>ApprovalRequested</w:t>
            </w:r>
            <w:proofErr w:type="spellEnd"/>
            <w:r>
              <w:rPr>
                <w:b/>
                <w:bCs/>
                <w:color w:val="000000"/>
                <w:sz w:val="19"/>
                <w:szCs w:val="19"/>
              </w:rPr>
              <w:t xml:space="preserve"> / </w:t>
            </w:r>
            <w:proofErr w:type="spellStart"/>
            <w:r>
              <w:rPr>
                <w:b/>
                <w:bCs/>
                <w:color w:val="000000"/>
                <w:sz w:val="19"/>
                <w:szCs w:val="19"/>
              </w:rPr>
              <w:t>ApprovalGranted</w:t>
            </w:r>
            <w:proofErr w:type="spellEnd"/>
            <w:r>
              <w:rPr>
                <w:b/>
                <w:bCs/>
                <w:color w:val="000000"/>
                <w:sz w:val="19"/>
                <w:szCs w:val="19"/>
              </w:rPr>
              <w:t xml:space="preserve"> / </w:t>
            </w:r>
            <w:proofErr w:type="spellStart"/>
            <w:r>
              <w:rPr>
                <w:b/>
                <w:bCs/>
                <w:color w:val="000000"/>
                <w:sz w:val="19"/>
                <w:szCs w:val="19"/>
              </w:rPr>
              <w:t>ApprovalDenied</w:t>
            </w:r>
            <w:proofErr w:type="spellEnd"/>
          </w:p>
        </w:tc>
        <w:tc>
          <w:tcPr>
            <w:tcW w:w="67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29CE6A3E" w14:textId="77777777" w:rsidR="00F62033" w:rsidRDefault="00000000">
            <w:r>
              <w:rPr>
                <w:color w:val="000000"/>
                <w:sz w:val="19"/>
                <w:szCs w:val="19"/>
              </w:rPr>
              <w:t xml:space="preserve">Human Approval Checkpoint lifecycle — </w:t>
            </w:r>
            <w:proofErr w:type="spellStart"/>
            <w:r>
              <w:rPr>
                <w:color w:val="000000"/>
                <w:sz w:val="19"/>
                <w:szCs w:val="19"/>
              </w:rPr>
              <w:t>ApprovalDenied</w:t>
            </w:r>
            <w:proofErr w:type="spellEnd"/>
            <w:r>
              <w:rPr>
                <w:color w:val="000000"/>
                <w:sz w:val="19"/>
                <w:szCs w:val="19"/>
              </w:rPr>
              <w:t xml:space="preserve"> routes back into the workflow as a revision task, not a dead end</w:t>
            </w:r>
          </w:p>
        </w:tc>
      </w:tr>
      <w:tr w:rsidR="00F62033" w14:paraId="723413B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07F6994A" w14:textId="77777777" w:rsidR="00F62033" w:rsidRDefault="00000000">
            <w:proofErr w:type="spellStart"/>
            <w:r>
              <w:rPr>
                <w:b/>
                <w:bCs/>
                <w:color w:val="000000"/>
                <w:sz w:val="19"/>
                <w:szCs w:val="19"/>
              </w:rPr>
              <w:t>StateTransitioned</w:t>
            </w:r>
            <w:proofErr w:type="spellEnd"/>
          </w:p>
        </w:tc>
        <w:tc>
          <w:tcPr>
            <w:tcW w:w="67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1A63655B" w14:textId="77777777" w:rsidR="00F62033" w:rsidRDefault="00000000">
            <w:r>
              <w:rPr>
                <w:color w:val="000000"/>
                <w:sz w:val="19"/>
                <w:szCs w:val="19"/>
              </w:rPr>
              <w:t>Workflow State Machine moved from one defined state to the next — the canonical record consumed by Observability</w:t>
            </w:r>
          </w:p>
        </w:tc>
      </w:tr>
      <w:tr w:rsidR="00F62033" w14:paraId="72995A32"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52E66F5C" w14:textId="77777777" w:rsidR="00F62033" w:rsidRDefault="00000000">
            <w:proofErr w:type="spellStart"/>
            <w:r>
              <w:rPr>
                <w:b/>
                <w:bCs/>
                <w:color w:val="000000"/>
                <w:sz w:val="19"/>
                <w:szCs w:val="19"/>
              </w:rPr>
              <w:t>RollbackTriggered</w:t>
            </w:r>
            <w:proofErr w:type="spellEnd"/>
          </w:p>
        </w:tc>
        <w:tc>
          <w:tcPr>
            <w:tcW w:w="67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6D4B08B1" w14:textId="77777777" w:rsidR="00F62033" w:rsidRDefault="00000000">
            <w:r>
              <w:rPr>
                <w:color w:val="000000"/>
                <w:sz w:val="19"/>
                <w:szCs w:val="19"/>
              </w:rPr>
              <w:t>Compensation logic activated — carries which task/increment is being reverted and why</w:t>
            </w:r>
          </w:p>
        </w:tc>
      </w:tr>
    </w:tbl>
    <w:p w14:paraId="00261F96" w14:textId="77777777" w:rsidR="00F62033" w:rsidRDefault="00F62033">
      <w:pPr>
        <w:spacing w:after="160"/>
      </w:pPr>
    </w:p>
    <w:p w14:paraId="519674DD" w14:textId="77777777" w:rsidR="00F62033" w:rsidRDefault="00000000">
      <w:pPr>
        <w:pStyle w:val="Heading1"/>
        <w:pageBreakBefore/>
      </w:pPr>
      <w:bookmarkStart w:id="25" w:name="_Toc233489546"/>
      <w:r>
        <w:lastRenderedPageBreak/>
        <w:t>11. Workflows</w:t>
      </w:r>
      <w:bookmarkEnd w:id="25"/>
    </w:p>
    <w:p w14:paraId="140E250C" w14:textId="77777777" w:rsidR="00F62033" w:rsidRDefault="00000000">
      <w:pPr>
        <w:spacing w:after="140" w:line="290" w:lineRule="auto"/>
      </w:pPr>
      <w:r>
        <w:rPr>
          <w:color w:val="000000"/>
        </w:rPr>
        <w:t>Eight workflow types share the same platform primitives — the same orchestrator, the same Agent/Tool Registries, the same event vocabulary. What differs is the state machine each one loads, the agents it engages, and where its approval gates sit. Three are detailed in full below for maximum contrast; the remaining five share enough structure with these three that a comparison table (Section 11.4) is the more honest way to present them than mechanically repeating seven sub-sections five more times.</w:t>
      </w:r>
    </w:p>
    <w:p w14:paraId="7DAFE84A" w14:textId="77777777" w:rsidR="00F62033" w:rsidRDefault="00000000">
      <w:pPr>
        <w:pStyle w:val="Heading2"/>
      </w:pPr>
      <w:bookmarkStart w:id="26" w:name="_Toc233489547"/>
      <w:r>
        <w:t>11.1 Greenfield Product Development</w:t>
      </w:r>
      <w:bookmarkEnd w:id="26"/>
    </w:p>
    <w:p w14:paraId="606F6228" w14:textId="77777777" w:rsidR="00F62033" w:rsidRDefault="00000000">
      <w:pPr>
        <w:spacing w:after="140" w:line="290" w:lineRule="auto"/>
      </w:pPr>
      <w:r>
        <w:rPr>
          <w:i/>
          <w:iCs/>
          <w:color w:val="000000"/>
        </w:rPr>
        <w:t>No legacy constraints — the Architecture Agent designs from a clean slate, and gates exist to confirm direction early, before code exists, rather than to catch problems after.</w:t>
      </w:r>
    </w:p>
    <w:p w14:paraId="2C157B5D" w14:textId="77777777" w:rsidR="00F62033" w:rsidRDefault="00000000">
      <w:pPr>
        <w:spacing w:after="80"/>
        <w:jc w:val="center"/>
      </w:pPr>
      <w:r>
        <w:rPr>
          <w:noProof/>
        </w:rPr>
        <w:drawing>
          <wp:inline distT="0" distB="0" distL="0" distR="0" wp14:anchorId="092CC9B4" wp14:editId="1642BF0E">
            <wp:extent cx="6035040" cy="3246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5040" cy="3246120"/>
                    </a:xfrm>
                    <a:prstGeom prst="rect">
                      <a:avLst/>
                    </a:prstGeom>
                  </pic:spPr>
                </pic:pic>
              </a:graphicData>
            </a:graphic>
          </wp:inline>
        </w:drawing>
      </w:r>
    </w:p>
    <w:p w14:paraId="4F2A68AA" w14:textId="77777777" w:rsidR="00F62033" w:rsidRDefault="00000000">
      <w:pPr>
        <w:spacing w:after="200"/>
        <w:jc w:val="center"/>
      </w:pPr>
      <w:r>
        <w:rPr>
          <w:i/>
          <w:iCs/>
          <w:color w:val="5B6478"/>
          <w:sz w:val="18"/>
          <w:szCs w:val="18"/>
        </w:rPr>
        <w:t>Figure 4 — Greenfield sequence: requirement through release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62033" w14:paraId="3D9FDB8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28FE1F58" w14:textId="77777777" w:rsidR="00F62033" w:rsidRDefault="00000000">
            <w:r>
              <w:rPr>
                <w:b/>
                <w:bCs/>
                <w:color w:val="FFFFFF"/>
                <w:sz w:val="19"/>
                <w:szCs w:val="19"/>
              </w:rPr>
              <w:t>Participating agents</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80547CA" w14:textId="77777777" w:rsidR="00F62033" w:rsidRDefault="00000000">
            <w:r>
              <w:rPr>
                <w:color w:val="000000"/>
                <w:sz w:val="19"/>
                <w:szCs w:val="19"/>
              </w:rPr>
              <w:t>Requirement, Architecture, Coding, Test, Security, Review, Release</w:t>
            </w:r>
          </w:p>
        </w:tc>
      </w:tr>
      <w:tr w:rsidR="00F62033" w14:paraId="2BD6EEF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38B5F7BA" w14:textId="77777777" w:rsidR="00F62033" w:rsidRDefault="00000000">
            <w:r>
              <w:rPr>
                <w:b/>
                <w:bCs/>
                <w:color w:val="000000"/>
                <w:sz w:val="19"/>
                <w:szCs w:val="19"/>
              </w:rPr>
              <w:t>State transitions</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7ED760F" w14:textId="77777777" w:rsidR="00F62033" w:rsidRDefault="00000000">
            <w:r>
              <w:rPr>
                <w:color w:val="000000"/>
                <w:sz w:val="19"/>
                <w:szCs w:val="19"/>
              </w:rPr>
              <w:t>Scoped → Architected → Implemented → Tested → Scanned → Merged → Released</w:t>
            </w:r>
          </w:p>
        </w:tc>
      </w:tr>
      <w:tr w:rsidR="00F62033" w14:paraId="7E7919A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6F9A91E8" w14:textId="77777777" w:rsidR="00F62033" w:rsidRDefault="00000000">
            <w:r>
              <w:rPr>
                <w:b/>
                <w:bCs/>
                <w:color w:val="000000"/>
                <w:sz w:val="19"/>
                <w:szCs w:val="19"/>
              </w:rPr>
              <w:t>Context passed forward</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17DC6E1D" w14:textId="77777777" w:rsidR="00F62033" w:rsidRDefault="00000000">
            <w:proofErr w:type="spellStart"/>
            <w:r>
              <w:rPr>
                <w:color w:val="000000"/>
                <w:sz w:val="19"/>
                <w:szCs w:val="19"/>
              </w:rPr>
              <w:t>Stories+acceptance</w:t>
            </w:r>
            <w:proofErr w:type="spellEnd"/>
            <w:r>
              <w:rPr>
                <w:color w:val="000000"/>
                <w:sz w:val="19"/>
                <w:szCs w:val="19"/>
              </w:rPr>
              <w:t xml:space="preserve"> criteria → </w:t>
            </w:r>
            <w:proofErr w:type="spellStart"/>
            <w:r>
              <w:rPr>
                <w:color w:val="000000"/>
                <w:sz w:val="19"/>
                <w:szCs w:val="19"/>
              </w:rPr>
              <w:t>ADRs+API</w:t>
            </w:r>
            <w:proofErr w:type="spellEnd"/>
            <w:r>
              <w:rPr>
                <w:color w:val="000000"/>
                <w:sz w:val="19"/>
                <w:szCs w:val="19"/>
              </w:rPr>
              <w:t xml:space="preserve"> contracts → </w:t>
            </w:r>
            <w:proofErr w:type="spellStart"/>
            <w:r>
              <w:rPr>
                <w:color w:val="000000"/>
                <w:sz w:val="19"/>
                <w:szCs w:val="19"/>
              </w:rPr>
              <w:t>diff+PR</w:t>
            </w:r>
            <w:proofErr w:type="spellEnd"/>
            <w:r>
              <w:rPr>
                <w:color w:val="000000"/>
                <w:sz w:val="19"/>
                <w:szCs w:val="19"/>
              </w:rPr>
              <w:t xml:space="preserve"> → coverage report → scan findings → release candidate</w:t>
            </w:r>
          </w:p>
        </w:tc>
      </w:tr>
      <w:tr w:rsidR="00F62033" w14:paraId="36CE5D7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BF0E3"/>
            <w:tcMar>
              <w:top w:w="80" w:type="dxa"/>
              <w:left w:w="110" w:type="dxa"/>
              <w:bottom w:w="80" w:type="dxa"/>
              <w:right w:w="110" w:type="dxa"/>
            </w:tcMar>
            <w:vAlign w:val="center"/>
          </w:tcPr>
          <w:p w14:paraId="06DB55E6" w14:textId="77777777" w:rsidR="00F62033" w:rsidRDefault="00000000">
            <w:r>
              <w:rPr>
                <w:b/>
                <w:bCs/>
                <w:color w:val="000000"/>
                <w:sz w:val="19"/>
                <w:szCs w:val="19"/>
              </w:rPr>
              <w:t>Human gates</w:t>
            </w:r>
          </w:p>
        </w:tc>
        <w:tc>
          <w:tcPr>
            <w:tcW w:w="6960" w:type="dxa"/>
            <w:tcBorders>
              <w:top w:val="single" w:sz="1" w:space="0" w:color="BFBFBF"/>
              <w:left w:val="single" w:sz="1" w:space="0" w:color="BFBFBF"/>
              <w:bottom w:val="single" w:sz="1" w:space="0" w:color="BFBFBF"/>
              <w:right w:val="single" w:sz="1" w:space="0" w:color="BFBFBF"/>
            </w:tcBorders>
            <w:shd w:val="clear" w:color="auto" w:fill="FBF0E3"/>
            <w:tcMar>
              <w:top w:w="80" w:type="dxa"/>
              <w:left w:w="110" w:type="dxa"/>
              <w:bottom w:w="80" w:type="dxa"/>
              <w:right w:w="110" w:type="dxa"/>
            </w:tcMar>
            <w:vAlign w:val="center"/>
          </w:tcPr>
          <w:p w14:paraId="277B0DD5" w14:textId="77777777" w:rsidR="00F62033" w:rsidRDefault="00000000">
            <w:r>
              <w:rPr>
                <w:color w:val="000000"/>
                <w:sz w:val="19"/>
                <w:szCs w:val="19"/>
              </w:rPr>
              <w:t>(1) Product Owner approves scope, (2) Tech Lead approves architecture, (3) Senior Engineer merges (exceptions only), (4) Release Manager final sign-off</w:t>
            </w:r>
          </w:p>
        </w:tc>
      </w:tr>
      <w:tr w:rsidR="00F62033" w14:paraId="41B48A1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25E4D488" w14:textId="77777777" w:rsidR="00F62033" w:rsidRDefault="00000000">
            <w:r>
              <w:rPr>
                <w:b/>
                <w:bCs/>
                <w:color w:val="000000"/>
                <w:sz w:val="19"/>
                <w:szCs w:val="19"/>
              </w:rPr>
              <w:t>Rollback strategy</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56BA3C9F" w14:textId="77777777" w:rsidR="00F62033" w:rsidRDefault="00000000">
            <w:r>
              <w:rPr>
                <w:color w:val="000000"/>
                <w:sz w:val="19"/>
                <w:szCs w:val="19"/>
              </w:rPr>
              <w:t>Pre-merge: discard branch, no production impact. Post-release: standard CI/CD rollback to prior release artifact — no Greenfield-specific complexity since nothing legacy depends on this code yet</w:t>
            </w:r>
          </w:p>
        </w:tc>
      </w:tr>
      <w:tr w:rsidR="00F62033" w14:paraId="6536D83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46223E2A" w14:textId="77777777" w:rsidR="00F62033" w:rsidRDefault="00000000">
            <w:r>
              <w:rPr>
                <w:b/>
                <w:bCs/>
                <w:color w:val="000000"/>
                <w:sz w:val="19"/>
                <w:szCs w:val="19"/>
              </w:rPr>
              <w:t>Success criteria</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2AB7B8BC" w14:textId="77777777" w:rsidR="00F62033" w:rsidRDefault="00000000">
            <w:r>
              <w:rPr>
                <w:color w:val="000000"/>
                <w:sz w:val="19"/>
                <w:szCs w:val="19"/>
              </w:rPr>
              <w:t>Cycle time from approved scope to release candidate; % of PRs merged without human-found defects; zero unreviewed code reaching production</w:t>
            </w:r>
          </w:p>
        </w:tc>
      </w:tr>
    </w:tbl>
    <w:p w14:paraId="0411A09B" w14:textId="77777777" w:rsidR="00F62033" w:rsidRDefault="00F62033">
      <w:pPr>
        <w:spacing w:after="160"/>
      </w:pPr>
    </w:p>
    <w:p w14:paraId="334B1FFE" w14:textId="77777777" w:rsidR="00F62033" w:rsidRDefault="00000000">
      <w:pPr>
        <w:pStyle w:val="Heading2"/>
      </w:pPr>
      <w:bookmarkStart w:id="27" w:name="_Toc233489548"/>
      <w:r>
        <w:lastRenderedPageBreak/>
        <w:t>11.2 Brownfield Modernization</w:t>
      </w:r>
      <w:bookmarkEnd w:id="27"/>
    </w:p>
    <w:p w14:paraId="64172A43" w14:textId="77777777" w:rsidR="00F62033" w:rsidRDefault="00000000">
      <w:pPr>
        <w:spacing w:after="140" w:line="290" w:lineRule="auto"/>
      </w:pPr>
      <w:r>
        <w:rPr>
          <w:i/>
          <w:iCs/>
          <w:color w:val="000000"/>
        </w:rPr>
        <w:t>This is the workflow that most clearly answers “how do Greenfield and Brownfield differ” — the difference isn't which agents exist, it's the order they run in and what has to happen before any code changes.</w:t>
      </w:r>
    </w:p>
    <w:p w14:paraId="67BD481F" w14:textId="77777777" w:rsidR="00F62033" w:rsidRDefault="00000000">
      <w:pPr>
        <w:spacing w:after="80"/>
        <w:jc w:val="center"/>
      </w:pPr>
      <w:r>
        <w:rPr>
          <w:noProof/>
        </w:rPr>
        <w:drawing>
          <wp:inline distT="0" distB="0" distL="0" distR="0" wp14:anchorId="19A84C90" wp14:editId="688DE6EF">
            <wp:extent cx="6035040" cy="3337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5040" cy="3337560"/>
                    </a:xfrm>
                    <a:prstGeom prst="rect">
                      <a:avLst/>
                    </a:prstGeom>
                  </pic:spPr>
                </pic:pic>
              </a:graphicData>
            </a:graphic>
          </wp:inline>
        </w:drawing>
      </w:r>
    </w:p>
    <w:p w14:paraId="6384A9CC" w14:textId="77777777" w:rsidR="00F62033" w:rsidRDefault="00000000">
      <w:pPr>
        <w:spacing w:after="200"/>
        <w:jc w:val="center"/>
      </w:pPr>
      <w:r>
        <w:rPr>
          <w:i/>
          <w:iCs/>
          <w:color w:val="5B6478"/>
          <w:sz w:val="18"/>
          <w:szCs w:val="18"/>
        </w:rPr>
        <w:t>Figure 5 — Brownfield sequence: discovery and characterization precede refactor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
        <w:gridCol w:w="2673"/>
        <w:gridCol w:w="6658"/>
      </w:tblGrid>
      <w:tr w:rsidR="00F62033" w14:paraId="537A167B" w14:textId="77777777">
        <w:tblPrEx>
          <w:tblCellMar>
            <w:top w:w="0" w:type="dxa"/>
            <w:bottom w:w="0" w:type="dxa"/>
          </w:tblCellMar>
        </w:tblPrEx>
        <w:tc>
          <w:tcPr>
            <w:tcW w:w="2400" w:type="dxa"/>
            <w:gridSpan w:val="2"/>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7372DD75" w14:textId="77777777" w:rsidR="00F62033" w:rsidRDefault="00000000">
            <w:r>
              <w:rPr>
                <w:b/>
                <w:bCs/>
                <w:color w:val="FFFFFF"/>
                <w:sz w:val="19"/>
                <w:szCs w:val="19"/>
              </w:rPr>
              <w:t>Participating agents</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18A6D65B" w14:textId="77777777" w:rsidR="00F62033" w:rsidRDefault="00000000">
            <w:r>
              <w:rPr>
                <w:color w:val="000000"/>
                <w:sz w:val="19"/>
                <w:szCs w:val="19"/>
              </w:rPr>
              <w:t>Discovery, Dependency Analysis, Refactor, Test, Regression</w:t>
            </w:r>
          </w:p>
        </w:tc>
      </w:tr>
      <w:tr w:rsidR="00F62033" w14:paraId="0645CF8D" w14:textId="77777777">
        <w:tblPrEx>
          <w:tblCellMar>
            <w:top w:w="0" w:type="dxa"/>
            <w:bottom w:w="0" w:type="dxa"/>
          </w:tblCellMar>
        </w:tblPrEx>
        <w:tc>
          <w:tcPr>
            <w:tcW w:w="2400" w:type="dxa"/>
            <w:gridSpan w:val="2"/>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0DBD5A15" w14:textId="77777777" w:rsidR="00F62033" w:rsidRDefault="00000000">
            <w:r>
              <w:rPr>
                <w:b/>
                <w:bCs/>
                <w:color w:val="000000"/>
                <w:sz w:val="19"/>
                <w:szCs w:val="19"/>
              </w:rPr>
              <w:t>State transitions</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4359299" w14:textId="77777777" w:rsidR="00F62033" w:rsidRDefault="00000000">
            <w:r>
              <w:rPr>
                <w:color w:val="000000"/>
                <w:sz w:val="19"/>
                <w:szCs w:val="19"/>
              </w:rPr>
              <w:t>Discovered → Dependency-Mapped → Scope-Confirmed → Characterized → Refactored (per increment) → Regression-Verified → Staged</w:t>
            </w:r>
          </w:p>
        </w:tc>
      </w:tr>
      <w:tr w:rsidR="00F62033" w14:paraId="5AB6DDA4" w14:textId="77777777">
        <w:tblPrEx>
          <w:tblCellMar>
            <w:top w:w="0" w:type="dxa"/>
            <w:bottom w:w="0" w:type="dxa"/>
          </w:tblCellMar>
        </w:tblPrEx>
        <w:tc>
          <w:tcPr>
            <w:tcW w:w="2400" w:type="dxa"/>
            <w:gridSpan w:val="2"/>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F381124" w14:textId="77777777" w:rsidR="00F62033" w:rsidRDefault="00000000">
            <w:r>
              <w:rPr>
                <w:b/>
                <w:bCs/>
                <w:color w:val="000000"/>
                <w:sz w:val="19"/>
                <w:szCs w:val="19"/>
              </w:rPr>
              <w:t>Context passed forward</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64F65F67" w14:textId="77777777" w:rsidR="00F62033" w:rsidRDefault="00000000">
            <w:r>
              <w:rPr>
                <w:color w:val="000000"/>
                <w:sz w:val="19"/>
                <w:szCs w:val="19"/>
              </w:rPr>
              <w:t xml:space="preserve">As-built </w:t>
            </w:r>
            <w:proofErr w:type="spellStart"/>
            <w:r>
              <w:rPr>
                <w:color w:val="000000"/>
                <w:sz w:val="19"/>
                <w:szCs w:val="19"/>
              </w:rPr>
              <w:t>model+undocumented</w:t>
            </w:r>
            <w:proofErr w:type="spellEnd"/>
            <w:r>
              <w:rPr>
                <w:color w:val="000000"/>
                <w:sz w:val="19"/>
                <w:szCs w:val="19"/>
              </w:rPr>
              <w:t xml:space="preserve"> behaviour → risk-scored dependency map → characterization test baseline → incremental diffs → regression results</w:t>
            </w:r>
          </w:p>
        </w:tc>
      </w:tr>
      <w:tr w:rsidR="00F62033" w14:paraId="5AE177EE" w14:textId="77777777">
        <w:tblPrEx>
          <w:tblCellMar>
            <w:top w:w="0" w:type="dxa"/>
            <w:bottom w:w="0" w:type="dxa"/>
          </w:tblCellMar>
        </w:tblPrEx>
        <w:tc>
          <w:tcPr>
            <w:tcW w:w="2400" w:type="dxa"/>
            <w:gridSpan w:val="2"/>
            <w:tcBorders>
              <w:top w:val="single" w:sz="1" w:space="0" w:color="BFBFBF"/>
              <w:left w:val="single" w:sz="1" w:space="0" w:color="BFBFBF"/>
              <w:bottom w:val="single" w:sz="1" w:space="0" w:color="BFBFBF"/>
              <w:right w:val="single" w:sz="1" w:space="0" w:color="BFBFBF"/>
            </w:tcBorders>
            <w:shd w:val="clear" w:color="auto" w:fill="FBF0E3"/>
            <w:tcMar>
              <w:top w:w="80" w:type="dxa"/>
              <w:left w:w="110" w:type="dxa"/>
              <w:bottom w:w="80" w:type="dxa"/>
              <w:right w:w="110" w:type="dxa"/>
            </w:tcMar>
            <w:vAlign w:val="center"/>
          </w:tcPr>
          <w:p w14:paraId="3461B3A5" w14:textId="77777777" w:rsidR="00F62033" w:rsidRDefault="00000000">
            <w:r>
              <w:rPr>
                <w:b/>
                <w:bCs/>
                <w:color w:val="000000"/>
                <w:sz w:val="19"/>
                <w:szCs w:val="19"/>
              </w:rPr>
              <w:t>Human gates</w:t>
            </w:r>
          </w:p>
        </w:tc>
        <w:tc>
          <w:tcPr>
            <w:tcW w:w="6960" w:type="dxa"/>
            <w:tcBorders>
              <w:top w:val="single" w:sz="1" w:space="0" w:color="BFBFBF"/>
              <w:left w:val="single" w:sz="1" w:space="0" w:color="BFBFBF"/>
              <w:bottom w:val="single" w:sz="1" w:space="0" w:color="BFBFBF"/>
              <w:right w:val="single" w:sz="1" w:space="0" w:color="BFBFBF"/>
            </w:tcBorders>
            <w:shd w:val="clear" w:color="auto" w:fill="FBF0E3"/>
            <w:tcMar>
              <w:top w:w="80" w:type="dxa"/>
              <w:left w:w="110" w:type="dxa"/>
              <w:bottom w:w="80" w:type="dxa"/>
              <w:right w:w="110" w:type="dxa"/>
            </w:tcMar>
            <w:vAlign w:val="center"/>
          </w:tcPr>
          <w:p w14:paraId="23359D54" w14:textId="77777777" w:rsidR="00F62033" w:rsidRDefault="00000000">
            <w:r>
              <w:rPr>
                <w:color w:val="000000"/>
                <w:sz w:val="19"/>
                <w:szCs w:val="19"/>
              </w:rPr>
              <w:t xml:space="preserve">(1) Architect confirms </w:t>
            </w:r>
            <w:proofErr w:type="spellStart"/>
            <w:r>
              <w:rPr>
                <w:color w:val="000000"/>
                <w:sz w:val="19"/>
                <w:szCs w:val="19"/>
              </w:rPr>
              <w:t>scope+blast</w:t>
            </w:r>
            <w:proofErr w:type="spellEnd"/>
            <w:r>
              <w:rPr>
                <w:color w:val="000000"/>
                <w:sz w:val="19"/>
                <w:szCs w:val="19"/>
              </w:rPr>
              <w:t xml:space="preserve"> radius, (2) Tech Lead reviews each increment individually — not the whole rewrite, (3) Release Manager confirms rollback plan before each staged rollout</w:t>
            </w:r>
          </w:p>
        </w:tc>
      </w:tr>
      <w:tr w:rsidR="00F62033" w14:paraId="4EBABE86" w14:textId="77777777">
        <w:tblPrEx>
          <w:tblCellMar>
            <w:top w:w="0" w:type="dxa"/>
            <w:bottom w:w="0" w:type="dxa"/>
          </w:tblCellMar>
        </w:tblPrEx>
        <w:tc>
          <w:tcPr>
            <w:tcW w:w="2400" w:type="dxa"/>
            <w:gridSpan w:val="2"/>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16C2CC31" w14:textId="77777777" w:rsidR="00F62033" w:rsidRDefault="00000000">
            <w:r>
              <w:rPr>
                <w:b/>
                <w:bCs/>
                <w:color w:val="000000"/>
                <w:sz w:val="19"/>
                <w:szCs w:val="19"/>
              </w:rPr>
              <w:t>Rollback strategy</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4A202866" w14:textId="77777777" w:rsidR="00F62033" w:rsidRDefault="00000000">
            <w:r>
              <w:rPr>
                <w:color w:val="000000"/>
                <w:sz w:val="19"/>
                <w:szCs w:val="19"/>
              </w:rPr>
              <w:t>Per-increment, not per-project: each refactor step is a separate, independently revertible commit, verified against the characterization baseline captured before any change — a failed increment reverts without touching the others</w:t>
            </w:r>
          </w:p>
        </w:tc>
      </w:tr>
      <w:tr w:rsidR="00F62033" w14:paraId="2C2E8F46" w14:textId="77777777">
        <w:tblPrEx>
          <w:tblCellMar>
            <w:top w:w="0" w:type="dxa"/>
            <w:bottom w:w="0" w:type="dxa"/>
          </w:tblCellMar>
        </w:tblPrEx>
        <w:tc>
          <w:tcPr>
            <w:tcW w:w="2400" w:type="dxa"/>
            <w:gridSpan w:val="2"/>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6D2C02FA" w14:textId="77777777" w:rsidR="00F62033" w:rsidRDefault="00000000">
            <w:r>
              <w:rPr>
                <w:b/>
                <w:bCs/>
                <w:color w:val="000000"/>
                <w:sz w:val="19"/>
                <w:szCs w:val="19"/>
              </w:rPr>
              <w:t>Success criteria</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4C7B2B07" w14:textId="77777777" w:rsidR="00F62033" w:rsidRDefault="00000000">
            <w:r>
              <w:rPr>
                <w:color w:val="000000"/>
                <w:sz w:val="19"/>
                <w:szCs w:val="19"/>
              </w:rPr>
              <w:t>Behavioural equivalence maintained (zero characterization-test regressions); dependency risk score trending down; no big-bang cutover — staged rollout completion rate</w:t>
            </w:r>
          </w:p>
        </w:tc>
      </w:tr>
      <w:tr w:rsidR="00F62033" w14:paraId="4669C148" w14:textId="77777777">
        <w:tblPrEx>
          <w:tblCellMar>
            <w:top w:w="0" w:type="dxa"/>
            <w:bottom w:w="0" w:type="dxa"/>
          </w:tblCellMar>
        </w:tblPrEx>
        <w:trPr>
          <w:gridBefore w:val="1"/>
          <w:wBefore w:w="29" w:type="dxa"/>
        </w:trPr>
        <w:tc>
          <w:tcPr>
            <w:tcW w:w="0" w:type="auto"/>
            <w:gridSpan w:val="2"/>
            <w:tcBorders>
              <w:top w:val="single" w:sz="4" w:space="0" w:color="0E7C7B"/>
              <w:left w:val="single" w:sz="24" w:space="0" w:color="0E7C7B"/>
              <w:bottom w:val="single" w:sz="4" w:space="0" w:color="0E7C7B"/>
              <w:right w:val="single" w:sz="4" w:space="0" w:color="0E7C7B"/>
            </w:tcBorders>
            <w:shd w:val="clear" w:color="auto" w:fill="FAFAFA"/>
            <w:tcMar>
              <w:top w:w="140" w:type="dxa"/>
              <w:left w:w="180" w:type="dxa"/>
              <w:bottom w:w="140" w:type="dxa"/>
              <w:right w:w="180" w:type="dxa"/>
            </w:tcMar>
          </w:tcPr>
          <w:p w14:paraId="113B4135" w14:textId="77777777" w:rsidR="00F62033" w:rsidRDefault="00000000">
            <w:pPr>
              <w:spacing w:after="60"/>
            </w:pPr>
            <w:r>
              <w:rPr>
                <w:b/>
                <w:bCs/>
                <w:color w:val="0E7C7B"/>
              </w:rPr>
              <w:t>The Greenfield/Brownfield difference, stated plainly</w:t>
            </w:r>
          </w:p>
          <w:p w14:paraId="29413A63" w14:textId="77777777" w:rsidR="00F62033" w:rsidRDefault="00000000">
            <w:r>
              <w:rPr>
                <w:color w:val="333333"/>
                <w:sz w:val="20"/>
                <w:szCs w:val="20"/>
              </w:rPr>
              <w:t>Greenfield's gates protect a decision (scope, architecture) before work is built on top of it. Brownfield's gates protect a behaviour (what the legacy system already does, undocumented or not) before anything is allowed to change it. The Discovery and Dependency Analysis agents, and the characterization-test-before-refactor sequencing, have no Greenfield equivalent because there is nothing yet to discover.</w:t>
            </w:r>
          </w:p>
        </w:tc>
      </w:tr>
    </w:tbl>
    <w:p w14:paraId="6228AE69" w14:textId="77777777" w:rsidR="00F62033" w:rsidRDefault="00F62033">
      <w:pPr>
        <w:spacing w:after="160"/>
      </w:pPr>
    </w:p>
    <w:p w14:paraId="4DB7E862" w14:textId="77777777" w:rsidR="00F62033" w:rsidRDefault="00000000">
      <w:pPr>
        <w:pStyle w:val="Heading2"/>
      </w:pPr>
      <w:bookmarkStart w:id="28" w:name="_Toc233489549"/>
      <w:r>
        <w:t>11.3 Production Defect Resolution</w:t>
      </w:r>
      <w:bookmarkEnd w:id="28"/>
    </w:p>
    <w:p w14:paraId="235AC335" w14:textId="77777777" w:rsidR="00F62033" w:rsidRDefault="00000000">
      <w:pPr>
        <w:spacing w:after="140" w:line="290" w:lineRule="auto"/>
      </w:pPr>
      <w:r>
        <w:rPr>
          <w:i/>
          <w:iCs/>
          <w:color w:val="000000"/>
        </w:rPr>
        <w:lastRenderedPageBreak/>
        <w:t>The workflow most likely to be stress-tested by both engineers and executives, because it runs under real time pressure with a live incident attached.</w:t>
      </w:r>
    </w:p>
    <w:p w14:paraId="6BFF864B" w14:textId="77777777" w:rsidR="00F62033" w:rsidRDefault="00000000">
      <w:pPr>
        <w:spacing w:after="80"/>
        <w:jc w:val="center"/>
      </w:pPr>
      <w:r>
        <w:rPr>
          <w:noProof/>
        </w:rPr>
        <w:drawing>
          <wp:inline distT="0" distB="0" distL="0" distR="0" wp14:anchorId="26E148A0" wp14:editId="2BABE7E3">
            <wp:extent cx="6035040" cy="3108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35040" cy="3108960"/>
                    </a:xfrm>
                    <a:prstGeom prst="rect">
                      <a:avLst/>
                    </a:prstGeom>
                  </pic:spPr>
                </pic:pic>
              </a:graphicData>
            </a:graphic>
          </wp:inline>
        </w:drawing>
      </w:r>
    </w:p>
    <w:p w14:paraId="44CFD45F" w14:textId="77777777" w:rsidR="00F62033" w:rsidRDefault="00000000">
      <w:pPr>
        <w:spacing w:after="200"/>
        <w:jc w:val="center"/>
      </w:pPr>
      <w:r>
        <w:rPr>
          <w:i/>
          <w:iCs/>
          <w:color w:val="5B6478"/>
          <w:sz w:val="18"/>
          <w:szCs w:val="18"/>
        </w:rPr>
        <w:t>Figure 6 — Defect resolution sequence: time-boxed gates, automatic rollback on non-recovery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
        <w:gridCol w:w="2754"/>
        <w:gridCol w:w="6577"/>
      </w:tblGrid>
      <w:tr w:rsidR="00F62033" w14:paraId="086D9870" w14:textId="77777777">
        <w:tblPrEx>
          <w:tblCellMar>
            <w:top w:w="0" w:type="dxa"/>
            <w:bottom w:w="0" w:type="dxa"/>
          </w:tblCellMar>
        </w:tblPrEx>
        <w:tc>
          <w:tcPr>
            <w:tcW w:w="2400" w:type="dxa"/>
            <w:gridSpan w:val="2"/>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7413145B" w14:textId="77777777" w:rsidR="00F62033" w:rsidRDefault="00000000">
            <w:r>
              <w:rPr>
                <w:b/>
                <w:bCs/>
                <w:color w:val="FFFFFF"/>
                <w:sz w:val="19"/>
                <w:szCs w:val="19"/>
              </w:rPr>
              <w:t>Participating agents</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1B00CAB7" w14:textId="77777777" w:rsidR="00F62033" w:rsidRDefault="00000000">
            <w:r>
              <w:rPr>
                <w:color w:val="000000"/>
                <w:sz w:val="19"/>
                <w:szCs w:val="19"/>
              </w:rPr>
              <w:t>Triage/Diagnosis, Root-Cause, Coding, Test</w:t>
            </w:r>
          </w:p>
        </w:tc>
      </w:tr>
      <w:tr w:rsidR="00F62033" w14:paraId="04352A4B" w14:textId="77777777">
        <w:tblPrEx>
          <w:tblCellMar>
            <w:top w:w="0" w:type="dxa"/>
            <w:bottom w:w="0" w:type="dxa"/>
          </w:tblCellMar>
        </w:tblPrEx>
        <w:tc>
          <w:tcPr>
            <w:tcW w:w="2400" w:type="dxa"/>
            <w:gridSpan w:val="2"/>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6F7DBEE0" w14:textId="77777777" w:rsidR="00F62033" w:rsidRDefault="00000000">
            <w:r>
              <w:rPr>
                <w:b/>
                <w:bCs/>
                <w:color w:val="000000"/>
                <w:sz w:val="19"/>
                <w:szCs w:val="19"/>
              </w:rPr>
              <w:t>State transitions</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46108E70" w14:textId="77777777" w:rsidR="00F62033" w:rsidRDefault="00000000">
            <w:r>
              <w:rPr>
                <w:color w:val="000000"/>
                <w:sz w:val="19"/>
                <w:szCs w:val="19"/>
              </w:rPr>
              <w:t>Alerted → Triaged → Root-Cause-Identified → Patched → Verified → Deployed → (Monitoring → Stable | Rolled-Back)</w:t>
            </w:r>
          </w:p>
        </w:tc>
      </w:tr>
      <w:tr w:rsidR="00F62033" w14:paraId="780247B5" w14:textId="77777777">
        <w:tblPrEx>
          <w:tblCellMar>
            <w:top w:w="0" w:type="dxa"/>
            <w:bottom w:w="0" w:type="dxa"/>
          </w:tblCellMar>
        </w:tblPrEx>
        <w:tc>
          <w:tcPr>
            <w:tcW w:w="2400" w:type="dxa"/>
            <w:gridSpan w:val="2"/>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06A43D4A" w14:textId="77777777" w:rsidR="00F62033" w:rsidRDefault="00000000">
            <w:r>
              <w:rPr>
                <w:b/>
                <w:bCs/>
                <w:color w:val="000000"/>
                <w:sz w:val="19"/>
                <w:szCs w:val="19"/>
              </w:rPr>
              <w:t>Context passed forward</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65D002A4" w14:textId="77777777" w:rsidR="00F62033" w:rsidRDefault="00000000">
            <w:proofErr w:type="spellStart"/>
            <w:r>
              <w:rPr>
                <w:color w:val="000000"/>
                <w:sz w:val="19"/>
                <w:szCs w:val="19"/>
              </w:rPr>
              <w:t>Alert+correlated</w:t>
            </w:r>
            <w:proofErr w:type="spellEnd"/>
            <w:r>
              <w:rPr>
                <w:color w:val="000000"/>
                <w:sz w:val="19"/>
                <w:szCs w:val="19"/>
              </w:rPr>
              <w:t xml:space="preserve"> telemetry → probable </w:t>
            </w:r>
            <w:proofErr w:type="spellStart"/>
            <w:r>
              <w:rPr>
                <w:color w:val="000000"/>
                <w:sz w:val="19"/>
                <w:szCs w:val="19"/>
              </w:rPr>
              <w:t>cause+scope</w:t>
            </w:r>
            <w:proofErr w:type="spellEnd"/>
            <w:r>
              <w:rPr>
                <w:color w:val="000000"/>
                <w:sz w:val="19"/>
                <w:szCs w:val="19"/>
              </w:rPr>
              <w:t xml:space="preserve"> → root </w:t>
            </w:r>
            <w:proofErr w:type="spellStart"/>
            <w:r>
              <w:rPr>
                <w:color w:val="000000"/>
                <w:sz w:val="19"/>
                <w:szCs w:val="19"/>
              </w:rPr>
              <w:t>cause+fix</w:t>
            </w:r>
            <w:proofErr w:type="spellEnd"/>
            <w:r>
              <w:rPr>
                <w:color w:val="000000"/>
                <w:sz w:val="19"/>
                <w:szCs w:val="19"/>
              </w:rPr>
              <w:t xml:space="preserve"> options → minimal </w:t>
            </w:r>
            <w:proofErr w:type="spellStart"/>
            <w:r>
              <w:rPr>
                <w:color w:val="000000"/>
                <w:sz w:val="19"/>
                <w:szCs w:val="19"/>
              </w:rPr>
              <w:t>diff+targeted</w:t>
            </w:r>
            <w:proofErr w:type="spellEnd"/>
            <w:r>
              <w:rPr>
                <w:color w:val="000000"/>
                <w:sz w:val="19"/>
                <w:szCs w:val="19"/>
              </w:rPr>
              <w:t xml:space="preserve"> test → verified hotfix</w:t>
            </w:r>
          </w:p>
        </w:tc>
      </w:tr>
      <w:tr w:rsidR="00F62033" w14:paraId="6BB27FF3" w14:textId="77777777">
        <w:tblPrEx>
          <w:tblCellMar>
            <w:top w:w="0" w:type="dxa"/>
            <w:bottom w:w="0" w:type="dxa"/>
          </w:tblCellMar>
        </w:tblPrEx>
        <w:tc>
          <w:tcPr>
            <w:tcW w:w="2400" w:type="dxa"/>
            <w:gridSpan w:val="2"/>
            <w:tcBorders>
              <w:top w:val="single" w:sz="1" w:space="0" w:color="BFBFBF"/>
              <w:left w:val="single" w:sz="1" w:space="0" w:color="BFBFBF"/>
              <w:bottom w:val="single" w:sz="1" w:space="0" w:color="BFBFBF"/>
              <w:right w:val="single" w:sz="1" w:space="0" w:color="BFBFBF"/>
            </w:tcBorders>
            <w:shd w:val="clear" w:color="auto" w:fill="FBF0E3"/>
            <w:tcMar>
              <w:top w:w="80" w:type="dxa"/>
              <w:left w:w="110" w:type="dxa"/>
              <w:bottom w:w="80" w:type="dxa"/>
              <w:right w:w="110" w:type="dxa"/>
            </w:tcMar>
            <w:vAlign w:val="center"/>
          </w:tcPr>
          <w:p w14:paraId="0A85EDCF" w14:textId="77777777" w:rsidR="00F62033" w:rsidRDefault="00000000">
            <w:r>
              <w:rPr>
                <w:b/>
                <w:bCs/>
                <w:color w:val="000000"/>
                <w:sz w:val="19"/>
                <w:szCs w:val="19"/>
              </w:rPr>
              <w:t>Human gates</w:t>
            </w:r>
          </w:p>
        </w:tc>
        <w:tc>
          <w:tcPr>
            <w:tcW w:w="6960" w:type="dxa"/>
            <w:tcBorders>
              <w:top w:val="single" w:sz="1" w:space="0" w:color="BFBFBF"/>
              <w:left w:val="single" w:sz="1" w:space="0" w:color="BFBFBF"/>
              <w:bottom w:val="single" w:sz="1" w:space="0" w:color="BFBFBF"/>
              <w:right w:val="single" w:sz="1" w:space="0" w:color="BFBFBF"/>
            </w:tcBorders>
            <w:shd w:val="clear" w:color="auto" w:fill="FBF0E3"/>
            <w:tcMar>
              <w:top w:w="80" w:type="dxa"/>
              <w:left w:w="110" w:type="dxa"/>
              <w:bottom w:w="80" w:type="dxa"/>
              <w:right w:w="110" w:type="dxa"/>
            </w:tcMar>
            <w:vAlign w:val="center"/>
          </w:tcPr>
          <w:p w14:paraId="4F00C5D6" w14:textId="77777777" w:rsidR="00F62033" w:rsidRDefault="00000000">
            <w:r>
              <w:rPr>
                <w:color w:val="000000"/>
                <w:sz w:val="19"/>
                <w:szCs w:val="19"/>
              </w:rPr>
              <w:t>(1) On-call confirms diagnosis direction — time-boxed, escalates to senior on-call if no response within SLA, (2) On-call/Release Manager approves hotfix deploy</w:t>
            </w:r>
          </w:p>
        </w:tc>
      </w:tr>
      <w:tr w:rsidR="00F62033" w14:paraId="213A0B82" w14:textId="77777777">
        <w:tblPrEx>
          <w:tblCellMar>
            <w:top w:w="0" w:type="dxa"/>
            <w:bottom w:w="0" w:type="dxa"/>
          </w:tblCellMar>
        </w:tblPrEx>
        <w:tc>
          <w:tcPr>
            <w:tcW w:w="2400" w:type="dxa"/>
            <w:gridSpan w:val="2"/>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9E38BFB" w14:textId="77777777" w:rsidR="00F62033" w:rsidRDefault="00000000">
            <w:r>
              <w:rPr>
                <w:b/>
                <w:bCs/>
                <w:color w:val="000000"/>
                <w:sz w:val="19"/>
                <w:szCs w:val="19"/>
              </w:rPr>
              <w:t>Rollback strategy</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697DFC04" w14:textId="77777777" w:rsidR="00F62033" w:rsidRDefault="00000000">
            <w:r>
              <w:rPr>
                <w:color w:val="000000"/>
                <w:sz w:val="19"/>
                <w:szCs w:val="19"/>
              </w:rPr>
              <w:t>Automatic, not gated: a rollback snapshot is taken at deploy time, and if monitored metrics don't recover within N minutes, rollback triggers without waiting for a human — the one workflow in this platform where speed of reversal outweighs the cost of a false-positive rollback</w:t>
            </w:r>
          </w:p>
        </w:tc>
      </w:tr>
      <w:tr w:rsidR="00F62033" w14:paraId="5429E11D" w14:textId="77777777">
        <w:tblPrEx>
          <w:tblCellMar>
            <w:top w:w="0" w:type="dxa"/>
            <w:bottom w:w="0" w:type="dxa"/>
          </w:tblCellMar>
        </w:tblPrEx>
        <w:tc>
          <w:tcPr>
            <w:tcW w:w="2400" w:type="dxa"/>
            <w:gridSpan w:val="2"/>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4AD83CD6" w14:textId="77777777" w:rsidR="00F62033" w:rsidRDefault="00000000">
            <w:r>
              <w:rPr>
                <w:b/>
                <w:bCs/>
                <w:color w:val="000000"/>
                <w:sz w:val="19"/>
                <w:szCs w:val="19"/>
              </w:rPr>
              <w:t>Success criteria</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64A2C9F0" w14:textId="77777777" w:rsidR="00F62033" w:rsidRDefault="00000000">
            <w:r>
              <w:rPr>
                <w:color w:val="000000"/>
                <w:sz w:val="19"/>
                <w:szCs w:val="19"/>
              </w:rPr>
              <w:t>Mean time to resolution (MTTR); % of incidents where AI-proposed root cause matched confirmed cause; rollback false-positive rate kept low enough that on-call trusts the automatic trigger</w:t>
            </w:r>
          </w:p>
        </w:tc>
      </w:tr>
      <w:tr w:rsidR="00F62033" w14:paraId="4E173FBF" w14:textId="77777777">
        <w:tblPrEx>
          <w:tblCellMar>
            <w:top w:w="0" w:type="dxa"/>
            <w:bottom w:w="0" w:type="dxa"/>
          </w:tblCellMar>
        </w:tblPrEx>
        <w:trPr>
          <w:gridBefore w:val="1"/>
          <w:wBefore w:w="29" w:type="dxa"/>
        </w:trPr>
        <w:tc>
          <w:tcPr>
            <w:tcW w:w="0" w:type="auto"/>
            <w:gridSpan w:val="2"/>
            <w:tcBorders>
              <w:top w:val="single" w:sz="4" w:space="0" w:color="C17F2B"/>
              <w:left w:val="single" w:sz="24" w:space="0" w:color="C17F2B"/>
              <w:bottom w:val="single" w:sz="4" w:space="0" w:color="C17F2B"/>
              <w:right w:val="single" w:sz="4" w:space="0" w:color="C17F2B"/>
            </w:tcBorders>
            <w:shd w:val="clear" w:color="auto" w:fill="FBF0E3"/>
            <w:tcMar>
              <w:top w:w="140" w:type="dxa"/>
              <w:left w:w="180" w:type="dxa"/>
              <w:bottom w:w="140" w:type="dxa"/>
              <w:right w:w="180" w:type="dxa"/>
            </w:tcMar>
          </w:tcPr>
          <w:p w14:paraId="65AE0913" w14:textId="77777777" w:rsidR="00F62033" w:rsidRDefault="00000000">
            <w:pPr>
              <w:spacing w:after="60"/>
            </w:pPr>
            <w:r>
              <w:rPr>
                <w:b/>
                <w:bCs/>
                <w:color w:val="C17F2B"/>
              </w:rPr>
              <w:t>Why this workflow's gates are time-boxed and others aren't</w:t>
            </w:r>
          </w:p>
          <w:p w14:paraId="609EFB30" w14:textId="77777777" w:rsidR="00F62033" w:rsidRDefault="00000000">
            <w:r>
              <w:rPr>
                <w:color w:val="333333"/>
                <w:sz w:val="20"/>
                <w:szCs w:val="20"/>
              </w:rPr>
              <w:t>Greenfield and Brownfield gates are open-ended because the cost of waiting for a thoughtful human decision is low relative to the cost of an irreversible mistake. A live P1 inverts that calculus — an open-ended gate here just means a longer outage. Time-boxing the gate, with automatic escalation on non-response and automatic rollback on non-recovery, is what makes “human approval everywhere” compatible with an SRE's actual SLA.</w:t>
            </w:r>
          </w:p>
        </w:tc>
      </w:tr>
    </w:tbl>
    <w:p w14:paraId="6CF55E06" w14:textId="77777777" w:rsidR="00F62033" w:rsidRDefault="00F62033">
      <w:pPr>
        <w:spacing w:after="160"/>
      </w:pPr>
    </w:p>
    <w:p w14:paraId="1C24EBA4" w14:textId="77777777" w:rsidR="00F62033" w:rsidRDefault="00000000">
      <w:pPr>
        <w:pStyle w:val="Heading2"/>
      </w:pPr>
      <w:bookmarkStart w:id="29" w:name="_Toc233489550"/>
      <w:r>
        <w:t>11.4 Remaining Workflows — Comparison Matrix</w:t>
      </w:r>
      <w:bookmarkEnd w:id="29"/>
    </w:p>
    <w:p w14:paraId="4F70B5F0" w14:textId="77777777" w:rsidR="00F62033" w:rsidRDefault="00000000">
      <w:pPr>
        <w:spacing w:after="140" w:line="290" w:lineRule="auto"/>
      </w:pPr>
      <w:r>
        <w:rPr>
          <w:color w:val="000000"/>
        </w:rPr>
        <w:t>These five reuse the same orchestrator, registries, and event vocabulary as the three detailed above. What's distinctive about each is captured here rather than repeated at full length.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00"/>
        <w:gridCol w:w="2700"/>
        <w:gridCol w:w="2460"/>
      </w:tblGrid>
      <w:tr w:rsidR="00F62033" w14:paraId="02CB6023"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32009D58" w14:textId="77777777" w:rsidR="00F62033" w:rsidRDefault="00000000">
            <w:r>
              <w:rPr>
                <w:b/>
                <w:bCs/>
                <w:color w:val="FFFFFF"/>
                <w:sz w:val="18"/>
                <w:szCs w:val="18"/>
              </w:rPr>
              <w:lastRenderedPageBreak/>
              <w:t>Workflow</w:t>
            </w:r>
          </w:p>
        </w:tc>
        <w:tc>
          <w:tcPr>
            <w:tcW w:w="250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5CA0F4AF" w14:textId="77777777" w:rsidR="00F62033" w:rsidRDefault="00000000">
            <w:r>
              <w:rPr>
                <w:b/>
                <w:bCs/>
                <w:color w:val="FFFFFF"/>
                <w:sz w:val="18"/>
                <w:szCs w:val="18"/>
              </w:rPr>
              <w:t>Participating agents</w:t>
            </w:r>
          </w:p>
        </w:tc>
        <w:tc>
          <w:tcPr>
            <w:tcW w:w="270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25D7D4DD" w14:textId="77777777" w:rsidR="00F62033" w:rsidRDefault="00000000">
            <w:r>
              <w:rPr>
                <w:b/>
                <w:bCs/>
                <w:color w:val="FFFFFF"/>
                <w:sz w:val="18"/>
                <w:szCs w:val="18"/>
              </w:rPr>
              <w:t>Key gate</w:t>
            </w:r>
          </w:p>
        </w:tc>
        <w:tc>
          <w:tcPr>
            <w:tcW w:w="246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640DDC5A" w14:textId="77777777" w:rsidR="00F62033" w:rsidRDefault="00000000">
            <w:r>
              <w:rPr>
                <w:b/>
                <w:bCs/>
                <w:color w:val="FFFFFF"/>
                <w:sz w:val="18"/>
                <w:szCs w:val="18"/>
              </w:rPr>
              <w:t>Rollback approach</w:t>
            </w:r>
          </w:p>
        </w:tc>
      </w:tr>
      <w:tr w:rsidR="00F62033" w14:paraId="2EBD6251"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4F33C05B" w14:textId="77777777" w:rsidR="00F62033" w:rsidRDefault="00000000">
            <w:r>
              <w:rPr>
                <w:b/>
                <w:bCs/>
                <w:color w:val="000000"/>
                <w:sz w:val="19"/>
                <w:szCs w:val="19"/>
              </w:rPr>
              <w:t>Feature Enhancement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0F675242" w14:textId="77777777" w:rsidR="00F62033" w:rsidRDefault="00000000">
            <w:r>
              <w:rPr>
                <w:color w:val="000000"/>
                <w:sz w:val="19"/>
                <w:szCs w:val="19"/>
              </w:rPr>
              <w:t>Requirement, Architecture (impact-analysis mode), Coding, Test, Review</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09CB6760" w14:textId="77777777" w:rsidR="00F62033" w:rsidRDefault="00000000">
            <w:r>
              <w:rPr>
                <w:color w:val="000000"/>
                <w:sz w:val="19"/>
                <w:szCs w:val="19"/>
              </w:rPr>
              <w:t xml:space="preserve">Tech </w:t>
            </w:r>
            <w:proofErr w:type="gramStart"/>
            <w:r>
              <w:rPr>
                <w:color w:val="000000"/>
                <w:sz w:val="19"/>
                <w:szCs w:val="19"/>
              </w:rPr>
              <w:t>Lead</w:t>
            </w:r>
            <w:proofErr w:type="gramEnd"/>
            <w:r>
              <w:rPr>
                <w:color w:val="000000"/>
                <w:sz w:val="19"/>
                <w:szCs w:val="19"/>
              </w:rPr>
              <w:t xml:space="preserve"> confirms the change doesn't violate existing architecture invariants</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5B498698" w14:textId="77777777" w:rsidR="00F62033" w:rsidRDefault="00000000">
            <w:r>
              <w:rPr>
                <w:color w:val="000000"/>
                <w:sz w:val="19"/>
                <w:szCs w:val="19"/>
              </w:rPr>
              <w:t>Same as Greenfield — feature-flagged where the change touches a high-traffic path</w:t>
            </w:r>
          </w:p>
        </w:tc>
      </w:tr>
      <w:tr w:rsidR="00F62033" w14:paraId="628854D8"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27182E3" w14:textId="77777777" w:rsidR="00F62033" w:rsidRDefault="00000000">
            <w:r>
              <w:rPr>
                <w:b/>
                <w:bCs/>
                <w:color w:val="000000"/>
                <w:sz w:val="19"/>
                <w:szCs w:val="19"/>
              </w:rPr>
              <w:t>Security Remediation</w:t>
            </w:r>
          </w:p>
        </w:tc>
        <w:tc>
          <w:tcPr>
            <w:tcW w:w="25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47B7008D" w14:textId="77777777" w:rsidR="00F62033" w:rsidRDefault="00000000">
            <w:r>
              <w:rPr>
                <w:color w:val="000000"/>
                <w:sz w:val="19"/>
                <w:szCs w:val="19"/>
              </w:rPr>
              <w:t>Security (</w:t>
            </w:r>
            <w:proofErr w:type="spellStart"/>
            <w:r>
              <w:rPr>
                <w:color w:val="000000"/>
                <w:sz w:val="19"/>
                <w:szCs w:val="19"/>
              </w:rPr>
              <w:t>Snyk</w:t>
            </w:r>
            <w:proofErr w:type="spellEnd"/>
            <w:r>
              <w:rPr>
                <w:color w:val="000000"/>
                <w:sz w:val="19"/>
                <w:szCs w:val="19"/>
              </w:rPr>
              <w:t>/SAST-integrated), Root-Cause, Coding, Test</w:t>
            </w:r>
          </w:p>
        </w:tc>
        <w:tc>
          <w:tcPr>
            <w:tcW w:w="27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529D0301" w14:textId="77777777" w:rsidR="00F62033" w:rsidRDefault="00000000">
            <w:r>
              <w:rPr>
                <w:color w:val="000000"/>
                <w:sz w:val="19"/>
                <w:szCs w:val="19"/>
              </w:rPr>
              <w:t>Security Lead approves the fix doesn't introduce a new finding while closing the original</w:t>
            </w:r>
          </w:p>
        </w:tc>
        <w:tc>
          <w:tcPr>
            <w:tcW w:w="24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6C8918C6" w14:textId="77777777" w:rsidR="00F62033" w:rsidRDefault="00000000">
            <w:r>
              <w:rPr>
                <w:color w:val="000000"/>
                <w:sz w:val="19"/>
                <w:szCs w:val="19"/>
              </w:rPr>
              <w:t>Time-boxed like defect resolution for actively-exploited CVEs; open-ended for low-severity findings</w:t>
            </w:r>
          </w:p>
        </w:tc>
      </w:tr>
      <w:tr w:rsidR="00F62033" w14:paraId="456926F0"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232BD87C" w14:textId="77777777" w:rsidR="00F62033" w:rsidRDefault="00000000">
            <w:r>
              <w:rPr>
                <w:b/>
                <w:bCs/>
                <w:color w:val="000000"/>
                <w:sz w:val="19"/>
                <w:szCs w:val="19"/>
              </w:rPr>
              <w:t>Technical Debt Reduction</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641CC3BE" w14:textId="77777777" w:rsidR="00F62033" w:rsidRDefault="00000000">
            <w:r>
              <w:rPr>
                <w:color w:val="000000"/>
                <w:sz w:val="19"/>
                <w:szCs w:val="19"/>
              </w:rPr>
              <w:t>Discovery, Refactor, Test, Documentation</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3E8E40CA" w14:textId="77777777" w:rsidR="00F62033" w:rsidRDefault="00000000">
            <w:r>
              <w:rPr>
                <w:color w:val="000000"/>
                <w:sz w:val="19"/>
                <w:szCs w:val="19"/>
              </w:rPr>
              <w:t>Engineering Manager prioritises which debt items enter a sprint — the platform proposes, doesn't self-schedule</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72586D61" w14:textId="77777777" w:rsidR="00F62033" w:rsidRDefault="00000000">
            <w:r>
              <w:rPr>
                <w:color w:val="000000"/>
                <w:sz w:val="19"/>
                <w:szCs w:val="19"/>
              </w:rPr>
              <w:t>Identical to Brownfield's per-increment revertible commits</w:t>
            </w:r>
          </w:p>
        </w:tc>
      </w:tr>
      <w:tr w:rsidR="00F62033" w14:paraId="49EF2D28"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6E079309" w14:textId="77777777" w:rsidR="00F62033" w:rsidRDefault="00000000">
            <w:r>
              <w:rPr>
                <w:b/>
                <w:bCs/>
                <w:color w:val="000000"/>
                <w:sz w:val="19"/>
                <w:szCs w:val="19"/>
              </w:rPr>
              <w:t>Legacy Migration</w:t>
            </w:r>
          </w:p>
        </w:tc>
        <w:tc>
          <w:tcPr>
            <w:tcW w:w="25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3A0B5E8" w14:textId="77777777" w:rsidR="00F62033" w:rsidRDefault="00000000">
            <w:r>
              <w:rPr>
                <w:color w:val="000000"/>
                <w:sz w:val="19"/>
                <w:szCs w:val="19"/>
              </w:rPr>
              <w:t>Discovery, Dependency Analysis, Migration (platform-specific), Test, Regression</w:t>
            </w:r>
          </w:p>
        </w:tc>
        <w:tc>
          <w:tcPr>
            <w:tcW w:w="27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76F6604" w14:textId="77777777" w:rsidR="00F62033" w:rsidRDefault="00000000">
            <w:r>
              <w:rPr>
                <w:color w:val="000000"/>
                <w:sz w:val="19"/>
                <w:szCs w:val="19"/>
              </w:rPr>
              <w:t>Architect approves the target-platform mapping before any migration begins — highest-stakes gate in the platform</w:t>
            </w:r>
          </w:p>
        </w:tc>
        <w:tc>
          <w:tcPr>
            <w:tcW w:w="24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47A96E09" w14:textId="77777777" w:rsidR="00F62033" w:rsidRDefault="00000000">
            <w:r>
              <w:rPr>
                <w:color w:val="000000"/>
                <w:sz w:val="19"/>
                <w:szCs w:val="19"/>
              </w:rPr>
              <w:t>Dual-run/parallel-run period before legacy decommission — the only workflow with a built-in “keep both running” phase</w:t>
            </w:r>
          </w:p>
        </w:tc>
      </w:tr>
      <w:tr w:rsidR="00F62033" w14:paraId="32D8FAA3"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77A421DB" w14:textId="77777777" w:rsidR="00F62033" w:rsidRDefault="00000000">
            <w:r>
              <w:rPr>
                <w:b/>
                <w:bCs/>
                <w:color w:val="000000"/>
                <w:sz w:val="19"/>
                <w:szCs w:val="19"/>
              </w:rPr>
              <w:t>Release Management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6EB3D5F4" w14:textId="77777777" w:rsidR="00F62033" w:rsidRDefault="00000000">
            <w:r>
              <w:rPr>
                <w:color w:val="000000"/>
                <w:sz w:val="19"/>
                <w:szCs w:val="19"/>
              </w:rPr>
              <w:t>Release-Readiness, Documentation, Security (final scan)</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0423D42D" w14:textId="77777777" w:rsidR="00F62033" w:rsidRDefault="00000000">
            <w:r>
              <w:rPr>
                <w:color w:val="000000"/>
                <w:sz w:val="19"/>
                <w:szCs w:val="19"/>
              </w:rPr>
              <w:t>Release Manager + (where applicable) Clinical Safety/CAB sign-off — the gate every other workflow eventually feeds into</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6D8F706D" w14:textId="77777777" w:rsidR="00F62033" w:rsidRDefault="00000000">
            <w:r>
              <w:rPr>
                <w:color w:val="000000"/>
                <w:sz w:val="19"/>
                <w:szCs w:val="19"/>
              </w:rPr>
              <w:t>Standard CI/CD rollback to prior release artifact, informed by whichever upstream workflow's rollback already ran</w:t>
            </w:r>
          </w:p>
        </w:tc>
      </w:tr>
    </w:tbl>
    <w:p w14:paraId="49140E90" w14:textId="77777777" w:rsidR="00F62033" w:rsidRDefault="00F62033">
      <w:pPr>
        <w:spacing w:after="160"/>
      </w:pPr>
    </w:p>
    <w:p w14:paraId="217F91DE" w14:textId="77777777" w:rsidR="00F62033" w:rsidRDefault="00000000">
      <w:pPr>
        <w:pStyle w:val="Heading1"/>
        <w:pageBreakBefore/>
      </w:pPr>
      <w:bookmarkStart w:id="30" w:name="_Toc233489551"/>
      <w:r>
        <w:lastRenderedPageBreak/>
        <w:t>12. Deployment Architecture</w:t>
      </w:r>
      <w:bookmarkEnd w:id="30"/>
    </w:p>
    <w:p w14:paraId="360BA62D" w14:textId="77777777" w:rsidR="00F62033" w:rsidRDefault="00000000">
      <w:pPr>
        <w:spacing w:after="140" w:line="290" w:lineRule="auto"/>
      </w:pPr>
      <w:r>
        <w:rPr>
          <w:color w:val="000000"/>
        </w:rPr>
        <w:t>Vendor-neutral does not mean cloud-agnostic at the infrastructure layer — it means the platform's core containers (Section 3) are built on portable primitives so the same platform deploys on Azure or AWS without an architecture change, only a configuration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F62033" w14:paraId="0014A4DD"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77F2CC7C" w14:textId="77777777" w:rsidR="00F62033" w:rsidRDefault="00000000">
            <w:r>
              <w:rPr>
                <w:b/>
                <w:bCs/>
                <w:color w:val="FFFFFF"/>
                <w:sz w:val="18"/>
                <w:szCs w:val="18"/>
              </w:rPr>
              <w:t>Container</w:t>
            </w:r>
          </w:p>
        </w:tc>
        <w:tc>
          <w:tcPr>
            <w:tcW w:w="348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389B9D78" w14:textId="77777777" w:rsidR="00F62033" w:rsidRDefault="00000000">
            <w:r>
              <w:rPr>
                <w:b/>
                <w:bCs/>
                <w:color w:val="FFFFFF"/>
                <w:sz w:val="18"/>
                <w:szCs w:val="18"/>
              </w:rPr>
              <w:t>Azure-native option</w:t>
            </w:r>
          </w:p>
        </w:tc>
        <w:tc>
          <w:tcPr>
            <w:tcW w:w="348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44F4D824" w14:textId="77777777" w:rsidR="00F62033" w:rsidRDefault="00000000">
            <w:r>
              <w:rPr>
                <w:b/>
                <w:bCs/>
                <w:color w:val="FFFFFF"/>
                <w:sz w:val="18"/>
                <w:szCs w:val="18"/>
              </w:rPr>
              <w:t>AWS-native option</w:t>
            </w:r>
          </w:p>
        </w:tc>
      </w:tr>
      <w:tr w:rsidR="00F62033" w14:paraId="26569A2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33056636" w14:textId="77777777" w:rsidR="00F62033" w:rsidRDefault="00000000">
            <w:r>
              <w:rPr>
                <w:b/>
                <w:bCs/>
                <w:color w:val="000000"/>
                <w:sz w:val="19"/>
                <w:szCs w:val="19"/>
              </w:rPr>
              <w:t>Orchestrator / Agents</w:t>
            </w:r>
          </w:p>
        </w:tc>
        <w:tc>
          <w:tcPr>
            <w:tcW w:w="34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712EFABC" w14:textId="77777777" w:rsidR="00F62033" w:rsidRDefault="00000000">
            <w:r>
              <w:rPr>
                <w:color w:val="000000"/>
                <w:sz w:val="19"/>
                <w:szCs w:val="19"/>
              </w:rPr>
              <w:t>AKS (Kubernetes) or Azure Container Apps</w:t>
            </w:r>
          </w:p>
        </w:tc>
        <w:tc>
          <w:tcPr>
            <w:tcW w:w="34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3255F2F6" w14:textId="77777777" w:rsidR="00F62033" w:rsidRDefault="00000000">
            <w:r>
              <w:rPr>
                <w:color w:val="000000"/>
                <w:sz w:val="19"/>
                <w:szCs w:val="19"/>
              </w:rPr>
              <w:t xml:space="preserve">EKS (Kubernetes) or ECS </w:t>
            </w:r>
            <w:proofErr w:type="spellStart"/>
            <w:r>
              <w:rPr>
                <w:color w:val="000000"/>
                <w:sz w:val="19"/>
                <w:szCs w:val="19"/>
              </w:rPr>
              <w:t>Fargate</w:t>
            </w:r>
            <w:proofErr w:type="spellEnd"/>
          </w:p>
        </w:tc>
      </w:tr>
      <w:tr w:rsidR="00F62033" w14:paraId="11FB294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63650C15" w14:textId="77777777" w:rsidR="00F62033" w:rsidRDefault="00000000">
            <w:r>
              <w:rPr>
                <w:b/>
                <w:bCs/>
                <w:color w:val="000000"/>
                <w:sz w:val="19"/>
                <w:szCs w:val="19"/>
              </w:rPr>
              <w:t>Event Bus</w:t>
            </w:r>
          </w:p>
        </w:tc>
        <w:tc>
          <w:tcPr>
            <w:tcW w:w="348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68D5EC4" w14:textId="77777777" w:rsidR="00F62033" w:rsidRDefault="00000000">
            <w:r>
              <w:rPr>
                <w:color w:val="000000"/>
                <w:sz w:val="19"/>
                <w:szCs w:val="19"/>
              </w:rPr>
              <w:t>Azure Service Bus / Event Grid</w:t>
            </w:r>
          </w:p>
        </w:tc>
        <w:tc>
          <w:tcPr>
            <w:tcW w:w="348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68795693" w14:textId="77777777" w:rsidR="00F62033" w:rsidRDefault="00000000">
            <w:r>
              <w:rPr>
                <w:color w:val="000000"/>
                <w:sz w:val="19"/>
                <w:szCs w:val="19"/>
              </w:rPr>
              <w:t xml:space="preserve">Amazon </w:t>
            </w:r>
            <w:proofErr w:type="spellStart"/>
            <w:r>
              <w:rPr>
                <w:color w:val="000000"/>
                <w:sz w:val="19"/>
                <w:szCs w:val="19"/>
              </w:rPr>
              <w:t>EventBridge</w:t>
            </w:r>
            <w:proofErr w:type="spellEnd"/>
            <w:r>
              <w:rPr>
                <w:color w:val="000000"/>
                <w:sz w:val="19"/>
                <w:szCs w:val="19"/>
              </w:rPr>
              <w:t xml:space="preserve"> / SQS+SNS</w:t>
            </w:r>
          </w:p>
        </w:tc>
      </w:tr>
      <w:tr w:rsidR="00F62033" w14:paraId="26DE5DA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6B6B8DDD" w14:textId="77777777" w:rsidR="00F62033" w:rsidRDefault="00000000">
            <w:r>
              <w:rPr>
                <w:b/>
                <w:bCs/>
                <w:color w:val="000000"/>
                <w:sz w:val="19"/>
                <w:szCs w:val="19"/>
              </w:rPr>
              <w:t>Task Queue &amp; Workflow Engine</w:t>
            </w:r>
          </w:p>
        </w:tc>
        <w:tc>
          <w:tcPr>
            <w:tcW w:w="34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182E47E8" w14:textId="77777777" w:rsidR="00F62033" w:rsidRDefault="00000000">
            <w:r>
              <w:rPr>
                <w:color w:val="000000"/>
                <w:sz w:val="19"/>
                <w:szCs w:val="19"/>
              </w:rPr>
              <w:t>Durable Functions or a workflow engine on AKS</w:t>
            </w:r>
          </w:p>
        </w:tc>
        <w:tc>
          <w:tcPr>
            <w:tcW w:w="34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4289430F" w14:textId="77777777" w:rsidR="00F62033" w:rsidRDefault="00000000">
            <w:r>
              <w:rPr>
                <w:color w:val="000000"/>
                <w:sz w:val="19"/>
                <w:szCs w:val="19"/>
              </w:rPr>
              <w:t>Step Functions or a workflow engine on EKS</w:t>
            </w:r>
          </w:p>
        </w:tc>
      </w:tr>
      <w:tr w:rsidR="00F62033" w14:paraId="06EA463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BBAD8C2" w14:textId="77777777" w:rsidR="00F62033" w:rsidRDefault="00000000">
            <w:r>
              <w:rPr>
                <w:b/>
                <w:bCs/>
                <w:color w:val="000000"/>
                <w:sz w:val="19"/>
                <w:szCs w:val="19"/>
              </w:rPr>
              <w:t>Long-Term Memory (vector store)</w:t>
            </w:r>
          </w:p>
        </w:tc>
        <w:tc>
          <w:tcPr>
            <w:tcW w:w="348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0A1A5A34" w14:textId="77777777" w:rsidR="00F62033" w:rsidRDefault="00000000">
            <w:r>
              <w:rPr>
                <w:color w:val="000000"/>
                <w:sz w:val="19"/>
                <w:szCs w:val="19"/>
              </w:rPr>
              <w:t xml:space="preserve">Azure AI Search (vector mode) or self-hosted </w:t>
            </w:r>
            <w:proofErr w:type="spellStart"/>
            <w:r>
              <w:rPr>
                <w:color w:val="000000"/>
                <w:sz w:val="19"/>
                <w:szCs w:val="19"/>
              </w:rPr>
              <w:t>pgvector</w:t>
            </w:r>
            <w:proofErr w:type="spellEnd"/>
            <w:r>
              <w:rPr>
                <w:color w:val="000000"/>
                <w:sz w:val="19"/>
                <w:szCs w:val="19"/>
              </w:rPr>
              <w:t xml:space="preserve"> on Azure Postgres</w:t>
            </w:r>
          </w:p>
        </w:tc>
        <w:tc>
          <w:tcPr>
            <w:tcW w:w="348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0033A8F" w14:textId="77777777" w:rsidR="00F62033" w:rsidRDefault="00000000">
            <w:r>
              <w:rPr>
                <w:color w:val="000000"/>
                <w:sz w:val="19"/>
                <w:szCs w:val="19"/>
              </w:rPr>
              <w:t xml:space="preserve">Amazon OpenSearch (vector) or self-hosted </w:t>
            </w:r>
            <w:proofErr w:type="spellStart"/>
            <w:r>
              <w:rPr>
                <w:color w:val="000000"/>
                <w:sz w:val="19"/>
                <w:szCs w:val="19"/>
              </w:rPr>
              <w:t>pgvector</w:t>
            </w:r>
            <w:proofErr w:type="spellEnd"/>
            <w:r>
              <w:rPr>
                <w:color w:val="000000"/>
                <w:sz w:val="19"/>
                <w:szCs w:val="19"/>
              </w:rPr>
              <w:t xml:space="preserve"> on RDS Postgres</w:t>
            </w:r>
          </w:p>
        </w:tc>
      </w:tr>
      <w:tr w:rsidR="00F62033" w14:paraId="5C0C4F4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64952DCF" w14:textId="77777777" w:rsidR="00F62033" w:rsidRDefault="00000000">
            <w:r>
              <w:rPr>
                <w:b/>
                <w:bCs/>
                <w:color w:val="000000"/>
                <w:sz w:val="19"/>
                <w:szCs w:val="19"/>
              </w:rPr>
              <w:t>Secrets Vault</w:t>
            </w:r>
          </w:p>
        </w:tc>
        <w:tc>
          <w:tcPr>
            <w:tcW w:w="34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4A0B3903" w14:textId="77777777" w:rsidR="00F62033" w:rsidRDefault="00000000">
            <w:r>
              <w:rPr>
                <w:color w:val="000000"/>
                <w:sz w:val="19"/>
                <w:szCs w:val="19"/>
              </w:rPr>
              <w:t>Azure Key Vault</w:t>
            </w:r>
          </w:p>
        </w:tc>
        <w:tc>
          <w:tcPr>
            <w:tcW w:w="34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2B9707A0" w14:textId="77777777" w:rsidR="00F62033" w:rsidRDefault="00000000">
            <w:r>
              <w:rPr>
                <w:color w:val="000000"/>
                <w:sz w:val="19"/>
                <w:szCs w:val="19"/>
              </w:rPr>
              <w:t>AWS Secrets Manager</w:t>
            </w:r>
          </w:p>
        </w:tc>
      </w:tr>
      <w:tr w:rsidR="00F62033" w14:paraId="59B3633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5F4B366E" w14:textId="77777777" w:rsidR="00F62033" w:rsidRDefault="00000000">
            <w:r>
              <w:rPr>
                <w:b/>
                <w:bCs/>
                <w:color w:val="000000"/>
                <w:sz w:val="19"/>
                <w:szCs w:val="19"/>
              </w:rPr>
              <w:t>Identity / RBAC</w:t>
            </w:r>
          </w:p>
        </w:tc>
        <w:tc>
          <w:tcPr>
            <w:tcW w:w="348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637404A8" w14:textId="77777777" w:rsidR="00F62033" w:rsidRDefault="00000000">
            <w:r>
              <w:rPr>
                <w:color w:val="000000"/>
                <w:sz w:val="19"/>
                <w:szCs w:val="19"/>
              </w:rPr>
              <w:t>Microsoft Entra ID</w:t>
            </w:r>
          </w:p>
        </w:tc>
        <w:tc>
          <w:tcPr>
            <w:tcW w:w="348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74E3940B" w14:textId="77777777" w:rsidR="00F62033" w:rsidRDefault="00000000">
            <w:r>
              <w:rPr>
                <w:color w:val="000000"/>
                <w:sz w:val="19"/>
                <w:szCs w:val="19"/>
              </w:rPr>
              <w:t xml:space="preserve">AWS IAM Identity </w:t>
            </w:r>
            <w:proofErr w:type="spellStart"/>
            <w:r>
              <w:rPr>
                <w:color w:val="000000"/>
                <w:sz w:val="19"/>
                <w:szCs w:val="19"/>
              </w:rPr>
              <w:t>Center</w:t>
            </w:r>
            <w:proofErr w:type="spellEnd"/>
          </w:p>
        </w:tc>
      </w:tr>
      <w:tr w:rsidR="00F62033" w14:paraId="5192EA6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51F2A460" w14:textId="77777777" w:rsidR="00F62033" w:rsidRDefault="00000000">
            <w:r>
              <w:rPr>
                <w:b/>
                <w:bCs/>
                <w:color w:val="000000"/>
                <w:sz w:val="19"/>
                <w:szCs w:val="19"/>
              </w:rPr>
              <w:t>Observability</w:t>
            </w:r>
          </w:p>
        </w:tc>
        <w:tc>
          <w:tcPr>
            <w:tcW w:w="34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6498DDD3" w14:textId="77777777" w:rsidR="00F62033" w:rsidRDefault="00000000">
            <w:r>
              <w:rPr>
                <w:color w:val="000000"/>
                <w:sz w:val="19"/>
                <w:szCs w:val="19"/>
              </w:rPr>
              <w:t>Azure Monitor + Log Analytics</w:t>
            </w:r>
          </w:p>
        </w:tc>
        <w:tc>
          <w:tcPr>
            <w:tcW w:w="34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5782D785" w14:textId="77777777" w:rsidR="00F62033" w:rsidRDefault="00000000">
            <w:r>
              <w:rPr>
                <w:color w:val="000000"/>
                <w:sz w:val="19"/>
                <w:szCs w:val="19"/>
              </w:rPr>
              <w:t xml:space="preserve">CloudWatch + </w:t>
            </w:r>
            <w:proofErr w:type="spellStart"/>
            <w:r>
              <w:rPr>
                <w:color w:val="000000"/>
                <w:sz w:val="19"/>
                <w:szCs w:val="19"/>
              </w:rPr>
              <w:t>OpenTelemetry</w:t>
            </w:r>
            <w:proofErr w:type="spellEnd"/>
            <w:r>
              <w:rPr>
                <w:color w:val="000000"/>
                <w:sz w:val="19"/>
                <w:szCs w:val="19"/>
              </w:rPr>
              <w:t xml:space="preserve"> collector</w:t>
            </w:r>
          </w:p>
        </w:tc>
      </w:tr>
      <w:tr w:rsidR="00F62033" w14:paraId="0E96752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0C381AA9" w14:textId="77777777" w:rsidR="00F62033" w:rsidRDefault="00000000">
            <w:r>
              <w:rPr>
                <w:b/>
                <w:bCs/>
                <w:color w:val="000000"/>
                <w:sz w:val="19"/>
                <w:szCs w:val="19"/>
              </w:rPr>
              <w:t>Infra-as-code</w:t>
            </w:r>
          </w:p>
        </w:tc>
        <w:tc>
          <w:tcPr>
            <w:tcW w:w="348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5F638EAC" w14:textId="77777777" w:rsidR="00F62033" w:rsidRDefault="00000000">
            <w:r>
              <w:rPr>
                <w:color w:val="000000"/>
                <w:sz w:val="19"/>
                <w:szCs w:val="19"/>
              </w:rPr>
              <w:t>Terraform (</w:t>
            </w:r>
            <w:proofErr w:type="spellStart"/>
            <w:r>
              <w:rPr>
                <w:color w:val="000000"/>
                <w:sz w:val="19"/>
                <w:szCs w:val="19"/>
              </w:rPr>
              <w:t>azurerm</w:t>
            </w:r>
            <w:proofErr w:type="spellEnd"/>
            <w:r>
              <w:rPr>
                <w:color w:val="000000"/>
                <w:sz w:val="19"/>
                <w:szCs w:val="19"/>
              </w:rPr>
              <w:t xml:space="preserve"> provider)</w:t>
            </w:r>
          </w:p>
        </w:tc>
        <w:tc>
          <w:tcPr>
            <w:tcW w:w="348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09654F0E" w14:textId="77777777" w:rsidR="00F62033" w:rsidRDefault="00000000">
            <w:r>
              <w:rPr>
                <w:color w:val="000000"/>
                <w:sz w:val="19"/>
                <w:szCs w:val="19"/>
              </w:rPr>
              <w:t>Terraform (</w:t>
            </w:r>
            <w:proofErr w:type="spellStart"/>
            <w:r>
              <w:rPr>
                <w:color w:val="000000"/>
                <w:sz w:val="19"/>
                <w:szCs w:val="19"/>
              </w:rPr>
              <w:t>aws</w:t>
            </w:r>
            <w:proofErr w:type="spellEnd"/>
            <w:r>
              <w:rPr>
                <w:color w:val="000000"/>
                <w:sz w:val="19"/>
                <w:szCs w:val="19"/>
              </w:rPr>
              <w:t xml:space="preserve"> provider)</w:t>
            </w:r>
          </w:p>
        </w:tc>
      </w:tr>
    </w:tbl>
    <w:p w14:paraId="3D18FAF6" w14:textId="77777777" w:rsidR="00F62033" w:rsidRDefault="00F62033">
      <w:pPr>
        <w:spacing w:after="140"/>
      </w:pPr>
    </w:p>
    <w:p w14:paraId="02608623" w14:textId="77777777" w:rsidR="00F62033" w:rsidRDefault="00000000">
      <w:pPr>
        <w:spacing w:after="140" w:line="290" w:lineRule="auto"/>
      </w:pPr>
      <w:r>
        <w:rPr>
          <w:color w:val="000000"/>
        </w:rPr>
        <w:t>Terraform is the deliberate constant across both columns — it's the one infrastructure layer where being vendor-neutral by construction (Principle 6, Section 1) costs nothing, since the platform was always going to need infra-as-code regardless of cloud.</w:t>
      </w:r>
    </w:p>
    <w:p w14:paraId="4C06AD3A" w14:textId="77777777" w:rsidR="00F62033" w:rsidRDefault="00F62033">
      <w:pPr>
        <w:spacing w:after="160"/>
      </w:pPr>
    </w:p>
    <w:p w14:paraId="373072F9" w14:textId="77777777" w:rsidR="00F62033" w:rsidRDefault="00000000">
      <w:pPr>
        <w:pStyle w:val="Heading1"/>
        <w:pageBreakBefore/>
      </w:pPr>
      <w:bookmarkStart w:id="31" w:name="_Toc233489552"/>
      <w:r>
        <w:lastRenderedPageBreak/>
        <w:t>13. Scalability Strategy</w:t>
      </w:r>
      <w:bookmarkEnd w:id="31"/>
    </w:p>
    <w:p w14:paraId="58B79053" w14:textId="77777777" w:rsidR="00F62033" w:rsidRDefault="00000000">
      <w:pPr>
        <w:spacing w:after="140" w:line="290" w:lineRule="auto"/>
      </w:pPr>
      <w:r>
        <w:rPr>
          <w:color w:val="000000"/>
        </w:rPr>
        <w:t>Three different things get conflated under “scale,” and the platform addresses them differently.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62033" w14:paraId="1975E657"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1528A023" w14:textId="77777777" w:rsidR="00F62033" w:rsidRDefault="00000000">
            <w:r>
              <w:rPr>
                <w:b/>
                <w:bCs/>
                <w:color w:val="FFFFFF"/>
                <w:sz w:val="18"/>
                <w:szCs w:val="18"/>
              </w:rPr>
              <w:t>Scaling dimension</w:t>
            </w:r>
          </w:p>
        </w:tc>
        <w:tc>
          <w:tcPr>
            <w:tcW w:w="696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52942C57" w14:textId="77777777" w:rsidR="00F62033" w:rsidRDefault="00000000">
            <w:r>
              <w:rPr>
                <w:b/>
                <w:bCs/>
                <w:color w:val="FFFFFF"/>
                <w:sz w:val="18"/>
                <w:szCs w:val="18"/>
              </w:rPr>
              <w:t>Mechanism</w:t>
            </w:r>
          </w:p>
        </w:tc>
      </w:tr>
      <w:tr w:rsidR="00F62033" w14:paraId="1E6E7B7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5B125E30" w14:textId="77777777" w:rsidR="00F62033" w:rsidRDefault="00000000">
            <w:r>
              <w:rPr>
                <w:b/>
                <w:bCs/>
                <w:color w:val="000000"/>
                <w:sz w:val="19"/>
                <w:szCs w:val="19"/>
              </w:rPr>
              <w:t>More engineers using the platform</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6AB43552" w14:textId="77777777" w:rsidR="00F62033" w:rsidRDefault="00000000">
            <w:r>
              <w:rPr>
                <w:color w:val="000000"/>
                <w:sz w:val="19"/>
                <w:szCs w:val="19"/>
              </w:rPr>
              <w:t>Stateless specialist agents scale horizontally behind the Event Bus — adding load means adding agent replicas, not redesigning workflow logic</w:t>
            </w:r>
          </w:p>
        </w:tc>
      </w:tr>
      <w:tr w:rsidR="00F62033" w14:paraId="1791889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0F83FEB8" w14:textId="77777777" w:rsidR="00F62033" w:rsidRDefault="00000000">
            <w:r>
              <w:rPr>
                <w:b/>
                <w:bCs/>
                <w:color w:val="000000"/>
                <w:sz w:val="19"/>
                <w:szCs w:val="19"/>
              </w:rPr>
              <w:t>More capabilities (new agent types)</w:t>
            </w:r>
          </w:p>
        </w:tc>
        <w:tc>
          <w:tcPr>
            <w:tcW w:w="69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55CF94EF" w14:textId="77777777" w:rsidR="00F62033" w:rsidRDefault="00000000">
            <w:r>
              <w:rPr>
                <w:color w:val="000000"/>
                <w:sz w:val="19"/>
                <w:szCs w:val="19"/>
              </w:rPr>
              <w:t>Agent Registry growth — each new agent is an independent registration, never a change to the orchestrator or to existing agents (Section 5.1)</w:t>
            </w:r>
          </w:p>
        </w:tc>
      </w:tr>
      <w:tr w:rsidR="00F62033" w14:paraId="0DBB9B1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4531D4AF" w14:textId="77777777" w:rsidR="00F62033" w:rsidRDefault="00000000">
            <w:r>
              <w:rPr>
                <w:b/>
                <w:bCs/>
                <w:color w:val="000000"/>
                <w:sz w:val="19"/>
                <w:szCs w:val="19"/>
              </w:rPr>
              <w:t>More tenants / business units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23B91086" w14:textId="77777777" w:rsidR="00F62033" w:rsidRDefault="00000000">
            <w:r>
              <w:rPr>
                <w:color w:val="000000"/>
                <w:sz w:val="19"/>
                <w:szCs w:val="19"/>
              </w:rPr>
              <w:t>Namespace isolation at the Task Queue and Memory layers (Section 5.8) — one platform deployment, many isolated tenants, not one deployment per tenant</w:t>
            </w:r>
          </w:p>
        </w:tc>
      </w:tr>
    </w:tbl>
    <w:p w14:paraId="71392328" w14:textId="77777777" w:rsidR="00F62033" w:rsidRDefault="00F62033">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2033" w14:paraId="2C346EBF" w14:textId="77777777">
        <w:tblPrEx>
          <w:tblCellMar>
            <w:top w:w="0" w:type="dxa"/>
            <w:bottom w:w="0" w:type="dxa"/>
          </w:tblCellMar>
        </w:tblPrEx>
        <w:tc>
          <w:tcPr>
            <w:tcW w:w="0" w:type="auto"/>
            <w:tcBorders>
              <w:top w:val="single" w:sz="4" w:space="0" w:color="8C1F1F"/>
              <w:left w:val="single" w:sz="24" w:space="0" w:color="8C1F1F"/>
              <w:bottom w:val="single" w:sz="4" w:space="0" w:color="8C1F1F"/>
              <w:right w:val="single" w:sz="4" w:space="0" w:color="8C1F1F"/>
            </w:tcBorders>
            <w:shd w:val="clear" w:color="auto" w:fill="FBE3E3"/>
            <w:tcMar>
              <w:top w:w="140" w:type="dxa"/>
              <w:left w:w="180" w:type="dxa"/>
              <w:bottom w:w="140" w:type="dxa"/>
              <w:right w:w="180" w:type="dxa"/>
            </w:tcMar>
          </w:tcPr>
          <w:p w14:paraId="3806AE04" w14:textId="77777777" w:rsidR="00F62033" w:rsidRDefault="00000000">
            <w:pPr>
              <w:spacing w:after="60"/>
            </w:pPr>
            <w:r>
              <w:rPr>
                <w:b/>
                <w:bCs/>
                <w:color w:val="8C1F1F"/>
              </w:rPr>
              <w:t>The honest limit</w:t>
            </w:r>
          </w:p>
          <w:p w14:paraId="734EAC49" w14:textId="77777777" w:rsidR="00F62033" w:rsidRDefault="00000000">
            <w:r>
              <w:rPr>
                <w:color w:val="333333"/>
                <w:sz w:val="20"/>
                <w:szCs w:val="20"/>
              </w:rPr>
              <w:t>This architecture scales the platform's capacity to coordinate work. It does not, by itself, scale the judgement quality of any individual agent — a Coding Agent built on a weaker model doesn't improve because the platform around it is well-architected. Model capability and platform capability are separate investments, and Section 5.10's Model Router is the lever for the former, not a substitute for it.</w:t>
            </w:r>
          </w:p>
        </w:tc>
      </w:tr>
    </w:tbl>
    <w:p w14:paraId="72896389" w14:textId="77777777" w:rsidR="00F62033" w:rsidRDefault="00F62033">
      <w:pPr>
        <w:spacing w:after="160"/>
      </w:pPr>
    </w:p>
    <w:p w14:paraId="1BBC69EB" w14:textId="77777777" w:rsidR="00F62033" w:rsidRDefault="00000000">
      <w:pPr>
        <w:pStyle w:val="Heading1"/>
        <w:pageBreakBefore/>
      </w:pPr>
      <w:bookmarkStart w:id="32" w:name="_Toc233489553"/>
      <w:r>
        <w:lastRenderedPageBreak/>
        <w:t>14. Reference Implementation Roadmap — 5,000+ Engineer Enterprise</w:t>
      </w:r>
      <w:bookmarkEnd w:id="32"/>
    </w:p>
    <w:p w14:paraId="26382C9F" w14:textId="77777777" w:rsidR="00F62033" w:rsidRDefault="00000000">
      <w:pPr>
        <w:spacing w:after="140" w:line="290" w:lineRule="auto"/>
      </w:pPr>
      <w:r>
        <w:rPr>
          <w:color w:val="000000"/>
        </w:rPr>
        <w:t xml:space="preserve">This is deliberately a different roadmap from the </w:t>
      </w:r>
      <w:proofErr w:type="spellStart"/>
      <w:r>
        <w:rPr>
          <w:color w:val="000000"/>
        </w:rPr>
        <w:t>SystemC</w:t>
      </w:r>
      <w:proofErr w:type="spellEnd"/>
      <w:r>
        <w:rPr>
          <w:color w:val="000000"/>
        </w:rPr>
        <w:t xml:space="preserve"> advisory document — that one is phased by organisational trust-building for one client; this one is phased by what the platform technically needs to exist before the next layer can be built safely.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900"/>
        <w:gridCol w:w="4660"/>
      </w:tblGrid>
      <w:tr w:rsidR="00F62033" w14:paraId="135C9B8E" w14:textId="77777777">
        <w:tblPrEx>
          <w:tblCellMar>
            <w:top w:w="0" w:type="dxa"/>
            <w:bottom w:w="0" w:type="dxa"/>
          </w:tblCellMar>
        </w:tblPrEx>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541497D8" w14:textId="77777777" w:rsidR="00F62033" w:rsidRDefault="00000000">
            <w:r>
              <w:rPr>
                <w:b/>
                <w:bCs/>
                <w:color w:val="FFFFFF"/>
                <w:sz w:val="18"/>
                <w:szCs w:val="18"/>
              </w:rPr>
              <w:t>Stage</w:t>
            </w:r>
          </w:p>
        </w:tc>
        <w:tc>
          <w:tcPr>
            <w:tcW w:w="290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35120945" w14:textId="77777777" w:rsidR="00F62033" w:rsidRDefault="00000000">
            <w:r>
              <w:rPr>
                <w:b/>
                <w:bCs/>
                <w:color w:val="FFFFFF"/>
                <w:sz w:val="18"/>
                <w:szCs w:val="18"/>
              </w:rPr>
              <w:t>Build</w:t>
            </w:r>
          </w:p>
        </w:tc>
        <w:tc>
          <w:tcPr>
            <w:tcW w:w="4660" w:type="dxa"/>
            <w:tcBorders>
              <w:top w:val="single" w:sz="1" w:space="0" w:color="BFBFBF"/>
              <w:left w:val="single" w:sz="1" w:space="0" w:color="BFBFBF"/>
              <w:bottom w:val="single" w:sz="1" w:space="0" w:color="BFBFBF"/>
              <w:right w:val="single" w:sz="1" w:space="0" w:color="BFBFBF"/>
            </w:tcBorders>
            <w:shd w:val="clear" w:color="auto" w:fill="1E2761"/>
            <w:tcMar>
              <w:top w:w="80" w:type="dxa"/>
              <w:left w:w="110" w:type="dxa"/>
              <w:bottom w:w="80" w:type="dxa"/>
              <w:right w:w="110" w:type="dxa"/>
            </w:tcMar>
            <w:vAlign w:val="center"/>
          </w:tcPr>
          <w:p w14:paraId="0FFA60B4" w14:textId="77777777" w:rsidR="00F62033" w:rsidRDefault="00000000">
            <w:r>
              <w:rPr>
                <w:b/>
                <w:bCs/>
                <w:color w:val="FFFFFF"/>
                <w:sz w:val="18"/>
                <w:szCs w:val="18"/>
              </w:rPr>
              <w:t>Why this order</w:t>
            </w:r>
          </w:p>
        </w:tc>
      </w:tr>
      <w:tr w:rsidR="00F62033" w14:paraId="1975864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62C858F8" w14:textId="77777777" w:rsidR="00F62033" w:rsidRDefault="00000000">
            <w:r>
              <w:rPr>
                <w:b/>
                <w:bCs/>
                <w:color w:val="000000"/>
                <w:sz w:val="19"/>
                <w:szCs w:val="19"/>
              </w:rPr>
              <w:t>0. Platform spine</w:t>
            </w:r>
          </w:p>
        </w:tc>
        <w:tc>
          <w:tcPr>
            <w:tcW w:w="2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3B0A1FC0" w14:textId="77777777" w:rsidR="00F62033" w:rsidRDefault="00000000">
            <w:r>
              <w:rPr>
                <w:color w:val="000000"/>
                <w:sz w:val="19"/>
                <w:szCs w:val="19"/>
              </w:rPr>
              <w:t>Event Bus, Task Queue, Agent Registry, Tool Registry, Audit Store</w:t>
            </w:r>
          </w:p>
        </w:tc>
        <w:tc>
          <w:tcPr>
            <w:tcW w:w="4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0E70D3AF" w14:textId="77777777" w:rsidR="00F62033" w:rsidRDefault="00000000">
            <w:r>
              <w:rPr>
                <w:color w:val="000000"/>
                <w:sz w:val="19"/>
                <w:szCs w:val="19"/>
              </w:rPr>
              <w:t>Nothing else in this document works without these five — they are the contract every later piece depends on</w:t>
            </w:r>
          </w:p>
        </w:tc>
      </w:tr>
      <w:tr w:rsidR="00F62033" w14:paraId="34689C6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4CACA031" w14:textId="77777777" w:rsidR="00F62033" w:rsidRDefault="00000000">
            <w:r>
              <w:rPr>
                <w:b/>
                <w:bCs/>
                <w:color w:val="000000"/>
                <w:sz w:val="19"/>
                <w:szCs w:val="19"/>
              </w:rPr>
              <w:t>1. First vertical slice</w:t>
            </w:r>
          </w:p>
        </w:tc>
        <w:tc>
          <w:tcPr>
            <w:tcW w:w="29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158A4834" w14:textId="77777777" w:rsidR="00F62033" w:rsidRDefault="00000000">
            <w:r>
              <w:rPr>
                <w:color w:val="000000"/>
                <w:sz w:val="19"/>
                <w:szCs w:val="19"/>
              </w:rPr>
              <w:t>Orchestrator + 2-3 agents (e.g. Requirement, Coding, Test) on one real workflow, one pilot team</w:t>
            </w:r>
          </w:p>
        </w:tc>
        <w:tc>
          <w:tcPr>
            <w:tcW w:w="46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7500A28B" w14:textId="77777777" w:rsidR="00F62033" w:rsidRDefault="00000000">
            <w:r>
              <w:rPr>
                <w:color w:val="000000"/>
                <w:sz w:val="19"/>
                <w:szCs w:val="19"/>
              </w:rPr>
              <w:t xml:space="preserve">Proves the spine under real load before any second team depends on it — mirrors the </w:t>
            </w:r>
            <w:proofErr w:type="spellStart"/>
            <w:r>
              <w:rPr>
                <w:color w:val="000000"/>
                <w:sz w:val="19"/>
                <w:szCs w:val="19"/>
              </w:rPr>
              <w:t>SystemC</w:t>
            </w:r>
            <w:proofErr w:type="spellEnd"/>
            <w:r>
              <w:rPr>
                <w:color w:val="000000"/>
                <w:sz w:val="19"/>
                <w:szCs w:val="19"/>
              </w:rPr>
              <w:t xml:space="preserve"> Phase 1–2 pattern, generalised</w:t>
            </w:r>
          </w:p>
        </w:tc>
      </w:tr>
      <w:tr w:rsidR="00F62033" w14:paraId="31F3FE0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2C457A55" w14:textId="77777777" w:rsidR="00F62033" w:rsidRDefault="00000000">
            <w:r>
              <w:rPr>
                <w:b/>
                <w:bCs/>
                <w:color w:val="000000"/>
                <w:sz w:val="19"/>
                <w:szCs w:val="19"/>
              </w:rPr>
              <w:t>2. Multi-tenancy</w:t>
            </w:r>
          </w:p>
        </w:tc>
        <w:tc>
          <w:tcPr>
            <w:tcW w:w="2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0072D0F8" w14:textId="77777777" w:rsidR="00F62033" w:rsidRDefault="00000000">
            <w:r>
              <w:rPr>
                <w:color w:val="000000"/>
                <w:sz w:val="19"/>
                <w:szCs w:val="19"/>
              </w:rPr>
              <w:t>Namespace isolation, per-tenant policy config, quota on Model Router</w:t>
            </w:r>
          </w:p>
        </w:tc>
        <w:tc>
          <w:tcPr>
            <w:tcW w:w="4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4FC77583" w14:textId="77777777" w:rsidR="00F62033" w:rsidRDefault="00000000">
            <w:r>
              <w:rPr>
                <w:color w:val="000000"/>
                <w:sz w:val="19"/>
                <w:szCs w:val="19"/>
              </w:rPr>
              <w:t>Must exist before a second business unit onboards — retrofitting tenancy after multiple teams share state is materially harder than building it first</w:t>
            </w:r>
          </w:p>
        </w:tc>
      </w:tr>
      <w:tr w:rsidR="00F62033" w14:paraId="2BA6202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78644261" w14:textId="77777777" w:rsidR="00F62033" w:rsidRDefault="00000000">
            <w:r>
              <w:rPr>
                <w:b/>
                <w:bCs/>
                <w:color w:val="000000"/>
                <w:sz w:val="19"/>
                <w:szCs w:val="19"/>
              </w:rPr>
              <w:t xml:space="preserve">3. Full agent </w:t>
            </w:r>
            <w:proofErr w:type="spellStart"/>
            <w:r>
              <w:rPr>
                <w:b/>
                <w:bCs/>
                <w:color w:val="000000"/>
                <w:sz w:val="19"/>
                <w:szCs w:val="19"/>
              </w:rPr>
              <w:t>catalog</w:t>
            </w:r>
            <w:proofErr w:type="spellEnd"/>
          </w:p>
        </w:tc>
        <w:tc>
          <w:tcPr>
            <w:tcW w:w="29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39537129" w14:textId="77777777" w:rsidR="00F62033" w:rsidRDefault="00000000">
            <w:r>
              <w:rPr>
                <w:color w:val="000000"/>
                <w:sz w:val="19"/>
                <w:szCs w:val="19"/>
              </w:rPr>
              <w:t>Remaining specialist agents (Section 11) registered; all 8 workflow templates loaded</w:t>
            </w:r>
          </w:p>
        </w:tc>
        <w:tc>
          <w:tcPr>
            <w:tcW w:w="46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5128F75A" w14:textId="77777777" w:rsidR="00F62033" w:rsidRDefault="00000000">
            <w:r>
              <w:rPr>
                <w:color w:val="000000"/>
                <w:sz w:val="19"/>
                <w:szCs w:val="19"/>
              </w:rPr>
              <w:t>Safe to add now because Stage 0–2 already proved an agent can be added without touching the core</w:t>
            </w:r>
          </w:p>
        </w:tc>
      </w:tr>
      <w:tr w:rsidR="00F62033" w14:paraId="6E1ACB9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1F2C0D3A" w14:textId="77777777" w:rsidR="00F62033" w:rsidRDefault="00000000">
            <w:r>
              <w:rPr>
                <w:b/>
                <w:bCs/>
                <w:color w:val="000000"/>
                <w:sz w:val="19"/>
                <w:szCs w:val="19"/>
              </w:rPr>
              <w:t>4. Governance at scale</w:t>
            </w:r>
          </w:p>
        </w:tc>
        <w:tc>
          <w:tcPr>
            <w:tcW w:w="2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78041F1E" w14:textId="77777777" w:rsidR="00F62033" w:rsidRDefault="00000000">
            <w:r>
              <w:rPr>
                <w:color w:val="000000"/>
                <w:sz w:val="19"/>
                <w:szCs w:val="19"/>
              </w:rPr>
              <w:t>Org-wide observability dashboard, policy-as-code library, self-serve agent invocation UI</w:t>
            </w:r>
          </w:p>
        </w:tc>
        <w:tc>
          <w:tcPr>
            <w:tcW w:w="4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10" w:type="dxa"/>
              <w:bottom w:w="80" w:type="dxa"/>
              <w:right w:w="110" w:type="dxa"/>
            </w:tcMar>
            <w:vAlign w:val="center"/>
          </w:tcPr>
          <w:p w14:paraId="512AB2D1" w14:textId="77777777" w:rsidR="00F62033" w:rsidRDefault="00000000">
            <w:r>
              <w:rPr>
                <w:color w:val="000000"/>
                <w:sz w:val="19"/>
                <w:szCs w:val="19"/>
              </w:rPr>
              <w:t>Only meaningful once enough real workflow history exists to govern — building dashboards before Stage 1–3 data exists produces governance theatre, not governance</w:t>
            </w:r>
          </w:p>
        </w:tc>
      </w:tr>
      <w:tr w:rsidR="00F62033" w14:paraId="21D9195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1500A377" w14:textId="77777777" w:rsidR="00F62033" w:rsidRDefault="00000000">
            <w:r>
              <w:rPr>
                <w:b/>
                <w:bCs/>
                <w:color w:val="000000"/>
                <w:sz w:val="19"/>
                <w:szCs w:val="19"/>
              </w:rPr>
              <w:t>5. Org-wide rollout</w:t>
            </w:r>
          </w:p>
        </w:tc>
        <w:tc>
          <w:tcPr>
            <w:tcW w:w="290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548BD6C8" w14:textId="77777777" w:rsidR="00F62033" w:rsidRDefault="00000000">
            <w:r>
              <w:rPr>
                <w:color w:val="000000"/>
                <w:sz w:val="19"/>
                <w:szCs w:val="19"/>
              </w:rPr>
              <w:t>Remaining teams onboarded in waves, gated by Stage 2's tenancy and Stage 4's dashboards</w:t>
            </w:r>
          </w:p>
        </w:tc>
        <w:tc>
          <w:tcPr>
            <w:tcW w:w="4660" w:type="dxa"/>
            <w:tcBorders>
              <w:top w:val="single" w:sz="1" w:space="0" w:color="BFBFBF"/>
              <w:left w:val="single" w:sz="1" w:space="0" w:color="BFBFBF"/>
              <w:bottom w:val="single" w:sz="1" w:space="0" w:color="BFBFBF"/>
              <w:right w:val="single" w:sz="1" w:space="0" w:color="BFBFBF"/>
            </w:tcBorders>
            <w:tcMar>
              <w:top w:w="80" w:type="dxa"/>
              <w:left w:w="110" w:type="dxa"/>
              <w:bottom w:w="80" w:type="dxa"/>
              <w:right w:w="110" w:type="dxa"/>
            </w:tcMar>
            <w:vAlign w:val="center"/>
          </w:tcPr>
          <w:p w14:paraId="13BBAC99" w14:textId="77777777" w:rsidR="00F62033" w:rsidRDefault="00000000">
            <w:r>
              <w:rPr>
                <w:color w:val="000000"/>
                <w:sz w:val="19"/>
                <w:szCs w:val="19"/>
              </w:rPr>
              <w:t xml:space="preserve">5,000+ engineers </w:t>
            </w:r>
            <w:proofErr w:type="gramStart"/>
            <w:r>
              <w:rPr>
                <w:color w:val="000000"/>
                <w:sz w:val="19"/>
                <w:szCs w:val="19"/>
              </w:rPr>
              <w:t>is</w:t>
            </w:r>
            <w:proofErr w:type="gramEnd"/>
            <w:r>
              <w:rPr>
                <w:color w:val="000000"/>
                <w:sz w:val="19"/>
                <w:szCs w:val="19"/>
              </w:rPr>
              <w:t xml:space="preserve"> a rollout problem by this stage, not an architecture problem — the platform itself stopped changing shape after Stage 3</w:t>
            </w:r>
          </w:p>
        </w:tc>
      </w:tr>
    </w:tbl>
    <w:p w14:paraId="20ACE097" w14:textId="77777777" w:rsidR="00F62033" w:rsidRDefault="00F6203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2033" w14:paraId="633C007E" w14:textId="77777777">
        <w:tblPrEx>
          <w:tblCellMar>
            <w:top w:w="0" w:type="dxa"/>
            <w:bottom w:w="0" w:type="dxa"/>
          </w:tblCellMar>
        </w:tblPrEx>
        <w:tc>
          <w:tcPr>
            <w:tcW w:w="0" w:type="auto"/>
            <w:tcBorders>
              <w:top w:val="single" w:sz="4" w:space="0" w:color="0E7C7B"/>
              <w:left w:val="single" w:sz="24" w:space="0" w:color="0E7C7B"/>
              <w:bottom w:val="single" w:sz="4" w:space="0" w:color="0E7C7B"/>
              <w:right w:val="single" w:sz="4" w:space="0" w:color="0E7C7B"/>
            </w:tcBorders>
            <w:shd w:val="clear" w:color="auto" w:fill="FAFAFA"/>
            <w:tcMar>
              <w:top w:w="140" w:type="dxa"/>
              <w:left w:w="180" w:type="dxa"/>
              <w:bottom w:w="140" w:type="dxa"/>
              <w:right w:w="180" w:type="dxa"/>
            </w:tcMar>
          </w:tcPr>
          <w:p w14:paraId="2330C21F" w14:textId="77777777" w:rsidR="00F62033" w:rsidRDefault="00000000">
            <w:pPr>
              <w:spacing w:after="60"/>
            </w:pPr>
            <w:r>
              <w:rPr>
                <w:b/>
                <w:bCs/>
                <w:color w:val="0E7C7B"/>
              </w:rPr>
              <w:t xml:space="preserve">How this relates to the </w:t>
            </w:r>
            <w:proofErr w:type="spellStart"/>
            <w:r>
              <w:rPr>
                <w:b/>
                <w:bCs/>
                <w:color w:val="0E7C7B"/>
              </w:rPr>
              <w:t>SystemC</w:t>
            </w:r>
            <w:proofErr w:type="spellEnd"/>
            <w:r>
              <w:rPr>
                <w:b/>
                <w:bCs/>
                <w:color w:val="0E7C7B"/>
              </w:rPr>
              <w:t xml:space="preserve"> roadmap</w:t>
            </w:r>
          </w:p>
          <w:p w14:paraId="2093DAC2" w14:textId="77777777" w:rsidR="00F62033" w:rsidRDefault="00000000">
            <w:r>
              <w:rPr>
                <w:color w:val="333333"/>
                <w:sz w:val="20"/>
                <w:szCs w:val="20"/>
              </w:rPr>
              <w:t xml:space="preserve">The </w:t>
            </w:r>
            <w:proofErr w:type="spellStart"/>
            <w:r>
              <w:rPr>
                <w:color w:val="333333"/>
                <w:sz w:val="20"/>
                <w:szCs w:val="20"/>
              </w:rPr>
              <w:t>SystemC</w:t>
            </w:r>
            <w:proofErr w:type="spellEnd"/>
            <w:r>
              <w:rPr>
                <w:color w:val="333333"/>
                <w:sz w:val="20"/>
                <w:szCs w:val="20"/>
              </w:rPr>
              <w:t xml:space="preserve"> advisory roadmap's four phases map onto Stages 0–1 of this implementation roadmap — a single pilot team proving the spine. The difference is scope: this document describes what the platform looks like if </w:t>
            </w:r>
            <w:proofErr w:type="spellStart"/>
            <w:r>
              <w:rPr>
                <w:color w:val="333333"/>
                <w:sz w:val="20"/>
                <w:szCs w:val="20"/>
              </w:rPr>
              <w:t>SystemC</w:t>
            </w:r>
            <w:proofErr w:type="spellEnd"/>
            <w:r>
              <w:rPr>
                <w:color w:val="333333"/>
                <w:sz w:val="20"/>
                <w:szCs w:val="20"/>
              </w:rPr>
              <w:t xml:space="preserve"> (or any client) later decides to go past one pilot team toward an org-wide capability. Nothing in the </w:t>
            </w:r>
            <w:proofErr w:type="spellStart"/>
            <w:r>
              <w:rPr>
                <w:color w:val="333333"/>
                <w:sz w:val="20"/>
                <w:szCs w:val="20"/>
              </w:rPr>
              <w:t>SystemC</w:t>
            </w:r>
            <w:proofErr w:type="spellEnd"/>
            <w:r>
              <w:rPr>
                <w:color w:val="333333"/>
                <w:sz w:val="20"/>
                <w:szCs w:val="20"/>
              </w:rPr>
              <w:t xml:space="preserve"> Phase 1–2 build is wasted if that happens — it's Stage 1 of this roadmap, not a separate effort.</w:t>
            </w:r>
          </w:p>
        </w:tc>
      </w:tr>
    </w:tbl>
    <w:p w14:paraId="0FEBCE93" w14:textId="77777777" w:rsidR="00366701" w:rsidRDefault="00366701"/>
    <w:sectPr w:rsidR="00366701">
      <w:headerReference w:type="default" r:id="rId13"/>
      <w:footerReference w:type="default" r:id="rId14"/>
      <w:pgSz w:w="12240" w:h="15840"/>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F8C83" w14:textId="77777777" w:rsidR="00366701" w:rsidRDefault="00366701">
      <w:r>
        <w:separator/>
      </w:r>
    </w:p>
  </w:endnote>
  <w:endnote w:type="continuationSeparator" w:id="0">
    <w:p w14:paraId="0AC19AD1" w14:textId="77777777" w:rsidR="00366701" w:rsidRDefault="00366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9C914" w14:textId="77777777" w:rsidR="00F62033" w:rsidRDefault="00000000">
    <w:pPr>
      <w:jc w:val="center"/>
    </w:pPr>
    <w:r>
      <w:rPr>
        <w:color w:val="5B6478"/>
        <w:sz w:val="18"/>
        <w:szCs w:val="18"/>
      </w:rPr>
      <w:fldChar w:fldCharType="begin"/>
    </w:r>
    <w:r>
      <w:rPr>
        <w:color w:val="5B6478"/>
        <w:sz w:val="18"/>
        <w:szCs w:val="18"/>
      </w:rPr>
      <w:instrText>PAGE</w:instrText>
    </w:r>
    <w:r>
      <w:rPr>
        <w:color w:val="5B6478"/>
        <w:sz w:val="18"/>
        <w:szCs w:val="18"/>
      </w:rPr>
      <w:fldChar w:fldCharType="separate"/>
    </w:r>
    <w:r w:rsidR="007E50B3">
      <w:rPr>
        <w:noProof/>
        <w:color w:val="5B6478"/>
        <w:sz w:val="18"/>
        <w:szCs w:val="18"/>
      </w:rPr>
      <w:t>1</w:t>
    </w:r>
    <w:r>
      <w:rPr>
        <w:color w:val="5B647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E5276" w14:textId="77777777" w:rsidR="00366701" w:rsidRDefault="00366701">
      <w:r>
        <w:separator/>
      </w:r>
    </w:p>
  </w:footnote>
  <w:footnote w:type="continuationSeparator" w:id="0">
    <w:p w14:paraId="387BC9F8" w14:textId="77777777" w:rsidR="00366701" w:rsidRDefault="003667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1425C" w14:textId="77777777" w:rsidR="00F62033" w:rsidRDefault="00000000">
    <w:pPr>
      <w:tabs>
        <w:tab w:val="right" w:pos="9026"/>
      </w:tabs>
    </w:pPr>
    <w:r>
      <w:rPr>
        <w:color w:val="5B6478"/>
        <w:sz w:val="16"/>
        <w:szCs w:val="16"/>
      </w:rPr>
      <w:t>Agentic Engineering Platform — Reference Architecture v1.0</w:t>
    </w:r>
    <w:r>
      <w:rPr>
        <w:color w:val="5B6478"/>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560B0D"/>
    <w:multiLevelType w:val="hybridMultilevel"/>
    <w:tmpl w:val="3D64AC7E"/>
    <w:lvl w:ilvl="0" w:tplc="14345250">
      <w:start w:val="1"/>
      <w:numFmt w:val="decimal"/>
      <w:lvlText w:val="%1."/>
      <w:lvlJc w:val="left"/>
      <w:pPr>
        <w:ind w:left="420" w:hanging="240"/>
      </w:pPr>
    </w:lvl>
    <w:lvl w:ilvl="1" w:tplc="2C46F132">
      <w:numFmt w:val="decimal"/>
      <w:lvlText w:val=""/>
      <w:lvlJc w:val="left"/>
    </w:lvl>
    <w:lvl w:ilvl="2" w:tplc="BE9AD0BE">
      <w:numFmt w:val="decimal"/>
      <w:lvlText w:val=""/>
      <w:lvlJc w:val="left"/>
    </w:lvl>
    <w:lvl w:ilvl="3" w:tplc="B7F6E0D6">
      <w:numFmt w:val="decimal"/>
      <w:lvlText w:val=""/>
      <w:lvlJc w:val="left"/>
    </w:lvl>
    <w:lvl w:ilvl="4" w:tplc="EE10676A">
      <w:numFmt w:val="decimal"/>
      <w:lvlText w:val=""/>
      <w:lvlJc w:val="left"/>
    </w:lvl>
    <w:lvl w:ilvl="5" w:tplc="E8C2E0BC">
      <w:numFmt w:val="decimal"/>
      <w:lvlText w:val=""/>
      <w:lvlJc w:val="left"/>
    </w:lvl>
    <w:lvl w:ilvl="6" w:tplc="5030B7BC">
      <w:numFmt w:val="decimal"/>
      <w:lvlText w:val=""/>
      <w:lvlJc w:val="left"/>
    </w:lvl>
    <w:lvl w:ilvl="7" w:tplc="3040768A">
      <w:numFmt w:val="decimal"/>
      <w:lvlText w:val=""/>
      <w:lvlJc w:val="left"/>
    </w:lvl>
    <w:lvl w:ilvl="8" w:tplc="23BE838E">
      <w:numFmt w:val="decimal"/>
      <w:lvlText w:val=""/>
      <w:lvlJc w:val="left"/>
    </w:lvl>
  </w:abstractNum>
  <w:abstractNum w:abstractNumId="1" w15:restartNumberingAfterBreak="0">
    <w:nsid w:val="3F5F5E5C"/>
    <w:multiLevelType w:val="hybridMultilevel"/>
    <w:tmpl w:val="61849A80"/>
    <w:lvl w:ilvl="0" w:tplc="C890F402">
      <w:start w:val="1"/>
      <w:numFmt w:val="bullet"/>
      <w:lvlText w:val="●"/>
      <w:lvlJc w:val="left"/>
      <w:pPr>
        <w:ind w:left="720" w:hanging="360"/>
      </w:pPr>
    </w:lvl>
    <w:lvl w:ilvl="1" w:tplc="B50AE824">
      <w:start w:val="1"/>
      <w:numFmt w:val="bullet"/>
      <w:lvlText w:val="○"/>
      <w:lvlJc w:val="left"/>
      <w:pPr>
        <w:ind w:left="1440" w:hanging="360"/>
      </w:pPr>
    </w:lvl>
    <w:lvl w:ilvl="2" w:tplc="6AE8A3A0">
      <w:start w:val="1"/>
      <w:numFmt w:val="bullet"/>
      <w:lvlText w:val="■"/>
      <w:lvlJc w:val="left"/>
      <w:pPr>
        <w:ind w:left="2160" w:hanging="360"/>
      </w:pPr>
    </w:lvl>
    <w:lvl w:ilvl="3" w:tplc="BE9A9AAC">
      <w:start w:val="1"/>
      <w:numFmt w:val="bullet"/>
      <w:lvlText w:val="●"/>
      <w:lvlJc w:val="left"/>
      <w:pPr>
        <w:ind w:left="2880" w:hanging="360"/>
      </w:pPr>
    </w:lvl>
    <w:lvl w:ilvl="4" w:tplc="3D683894">
      <w:start w:val="1"/>
      <w:numFmt w:val="bullet"/>
      <w:lvlText w:val="○"/>
      <w:lvlJc w:val="left"/>
      <w:pPr>
        <w:ind w:left="3600" w:hanging="360"/>
      </w:pPr>
    </w:lvl>
    <w:lvl w:ilvl="5" w:tplc="00C6206C">
      <w:start w:val="1"/>
      <w:numFmt w:val="bullet"/>
      <w:lvlText w:val="■"/>
      <w:lvlJc w:val="left"/>
      <w:pPr>
        <w:ind w:left="4320" w:hanging="360"/>
      </w:pPr>
    </w:lvl>
    <w:lvl w:ilvl="6" w:tplc="5650D07C">
      <w:start w:val="1"/>
      <w:numFmt w:val="bullet"/>
      <w:lvlText w:val="●"/>
      <w:lvlJc w:val="left"/>
      <w:pPr>
        <w:ind w:left="5040" w:hanging="360"/>
      </w:pPr>
    </w:lvl>
    <w:lvl w:ilvl="7" w:tplc="CB02B594">
      <w:start w:val="1"/>
      <w:numFmt w:val="bullet"/>
      <w:lvlText w:val="●"/>
      <w:lvlJc w:val="left"/>
      <w:pPr>
        <w:ind w:left="5760" w:hanging="360"/>
      </w:pPr>
    </w:lvl>
    <w:lvl w:ilvl="8" w:tplc="A7E47AB0">
      <w:start w:val="1"/>
      <w:numFmt w:val="bullet"/>
      <w:lvlText w:val="●"/>
      <w:lvlJc w:val="left"/>
      <w:pPr>
        <w:ind w:left="6480" w:hanging="360"/>
      </w:pPr>
    </w:lvl>
  </w:abstractNum>
  <w:abstractNum w:abstractNumId="2" w15:restartNumberingAfterBreak="0">
    <w:nsid w:val="4C1C239D"/>
    <w:multiLevelType w:val="hybridMultilevel"/>
    <w:tmpl w:val="EC68FAEE"/>
    <w:lvl w:ilvl="0" w:tplc="489840A8">
      <w:start w:val="1"/>
      <w:numFmt w:val="bullet"/>
      <w:lvlText w:val="•"/>
      <w:lvlJc w:val="left"/>
      <w:pPr>
        <w:ind w:left="420" w:hanging="240"/>
      </w:pPr>
    </w:lvl>
    <w:lvl w:ilvl="1" w:tplc="EEA0FEFA">
      <w:numFmt w:val="decimal"/>
      <w:lvlText w:val=""/>
      <w:lvlJc w:val="left"/>
    </w:lvl>
    <w:lvl w:ilvl="2" w:tplc="620CED82">
      <w:numFmt w:val="decimal"/>
      <w:lvlText w:val=""/>
      <w:lvlJc w:val="left"/>
    </w:lvl>
    <w:lvl w:ilvl="3" w:tplc="15B40590">
      <w:numFmt w:val="decimal"/>
      <w:lvlText w:val=""/>
      <w:lvlJc w:val="left"/>
    </w:lvl>
    <w:lvl w:ilvl="4" w:tplc="DFC64F94">
      <w:numFmt w:val="decimal"/>
      <w:lvlText w:val=""/>
      <w:lvlJc w:val="left"/>
    </w:lvl>
    <w:lvl w:ilvl="5" w:tplc="342CE56E">
      <w:numFmt w:val="decimal"/>
      <w:lvlText w:val=""/>
      <w:lvlJc w:val="left"/>
    </w:lvl>
    <w:lvl w:ilvl="6" w:tplc="42E834DE">
      <w:numFmt w:val="decimal"/>
      <w:lvlText w:val=""/>
      <w:lvlJc w:val="left"/>
    </w:lvl>
    <w:lvl w:ilvl="7" w:tplc="7D965742">
      <w:numFmt w:val="decimal"/>
      <w:lvlText w:val=""/>
      <w:lvlJc w:val="left"/>
    </w:lvl>
    <w:lvl w:ilvl="8" w:tplc="E2E29208">
      <w:numFmt w:val="decimal"/>
      <w:lvlText w:val=""/>
      <w:lvlJc w:val="left"/>
    </w:lvl>
  </w:abstractNum>
  <w:num w:numId="1" w16cid:durableId="1365445880">
    <w:abstractNumId w:val="1"/>
    <w:lvlOverride w:ilvl="0">
      <w:startOverride w:val="1"/>
    </w:lvlOverride>
  </w:num>
  <w:num w:numId="2" w16cid:durableId="21266571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033"/>
    <w:rsid w:val="00366701"/>
    <w:rsid w:val="007E50B3"/>
    <w:rsid w:val="00B20D3B"/>
    <w:rsid w:val="00F620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C33D3"/>
  <w15:docId w15:val="{D33E8189-E9C8-40BD-9D43-7E483E97A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0E7C7B"/>
      </w:pBdr>
      <w:spacing w:after="240"/>
      <w:outlineLvl w:val="0"/>
    </w:pPr>
    <w:rPr>
      <w:b/>
      <w:bCs/>
      <w:color w:val="1E2761"/>
      <w:sz w:val="30"/>
      <w:szCs w:val="30"/>
    </w:rPr>
  </w:style>
  <w:style w:type="paragraph" w:styleId="Heading2">
    <w:name w:val="heading 2"/>
    <w:uiPriority w:val="9"/>
    <w:unhideWhenUsed/>
    <w:qFormat/>
    <w:pPr>
      <w:spacing w:before="260" w:after="130"/>
      <w:outlineLvl w:val="1"/>
    </w:pPr>
    <w:rPr>
      <w:b/>
      <w:bCs/>
      <w:color w:val="0E7C7B"/>
      <w:sz w:val="24"/>
      <w:szCs w:val="24"/>
    </w:rPr>
  </w:style>
  <w:style w:type="paragraph" w:styleId="Heading3">
    <w:name w:val="heading 3"/>
    <w:uiPriority w:val="9"/>
    <w:semiHidden/>
    <w:unhideWhenUsed/>
    <w:qFormat/>
    <w:pPr>
      <w:spacing w:before="180" w:after="100"/>
      <w:outlineLvl w:val="2"/>
    </w:pPr>
    <w:rPr>
      <w:b/>
      <w:bCs/>
      <w:color w:val="1E276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E50B3"/>
    <w:pPr>
      <w:spacing w:after="100"/>
    </w:pPr>
  </w:style>
  <w:style w:type="paragraph" w:styleId="TOC2">
    <w:name w:val="toc 2"/>
    <w:basedOn w:val="Normal"/>
    <w:next w:val="Normal"/>
    <w:autoRedefine/>
    <w:uiPriority w:val="39"/>
    <w:unhideWhenUsed/>
    <w:rsid w:val="007E50B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4452</Words>
  <Characters>25378</Characters>
  <Application>Microsoft Office Word</Application>
  <DocSecurity>0</DocSecurity>
  <Lines>211</Lines>
  <Paragraphs>59</Paragraphs>
  <ScaleCrop>false</ScaleCrop>
  <Company/>
  <LinksUpToDate>false</LinksUpToDate>
  <CharactersWithSpaces>29771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sheza siddiquee</cp:lastModifiedBy>
  <cp:revision>3</cp:revision>
  <dcterms:created xsi:type="dcterms:W3CDTF">2026-06-27T11:13:00Z</dcterms:created>
  <dcterms:modified xsi:type="dcterms:W3CDTF">2026-06-27T16:29:00Z</dcterms:modified>
</cp:coreProperties>
</file>