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1584"/>
            <w:shd w:val="clear" w:color="auto" w:fill="F8FA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gpsf21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7776"/>
            <w:shd w:val="clear" w:color="auto" w:fill="F8FAFC"/>
          </w:tcPr>
          <w:p>
            <w:r>
              <w:rPr>
                <w:rFonts w:ascii="Courier New" w:hAnsi="Courier New"/>
                <w:b/>
                <w:color w:val="0284C7"/>
                <w:sz w:val="28"/>
              </w:rPr>
              <w:t>SISTEMA DE INTELIGENCIA C4I</w:t>
              <w:br/>
            </w:r>
            <w:r>
              <w:rPr>
                <w:rFonts w:ascii="Segoe UI" w:hAnsi="Segoe UI"/>
                <w:b/>
                <w:color w:val="0F172A"/>
                <w:sz w:val="22"/>
              </w:rPr>
              <w:t>INFORME DETERMINISTA OSINT &amp; AUDITORÍA NOTICIOSA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4824"/>
            <w:shd w:val="clear" w:color="auto" w:fill="F8FAFC"/>
          </w:tcPr>
          <w:p>
            <w:r>
              <w:t>Código: INT-NOIA-2026-001</w:t>
            </w:r>
          </w:p>
        </w:tc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4824"/>
            <w:shd w:val="clear" w:color="auto" w:fill="F8FAFC"/>
          </w:tcPr>
          <w:p>
            <w:r>
              <w:t>Fecha: 25 de agosto de 2026</w:t>
            </w:r>
          </w:p>
        </w:tc>
      </w:tr>
      <w:tr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4824"/>
            <w:shd w:val="clear" w:color="auto" w:fill="F8FAFC"/>
          </w:tcPr>
          <w:p>
            <w:r>
              <w:t>Autor: Motor Determinista No-IA</w:t>
            </w:r>
          </w:p>
        </w:tc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4824"/>
            <w:shd w:val="clear" w:color="auto" w:fill="F8FAFC"/>
          </w:tcPr>
          <w:p>
            <w:r>
              <w:t>Fuente: COBALTO HUB Determinista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W w:type="dxa" w:w="9648"/>
            <w:shd w:val="clear" w:color="auto" w:fill="FFFFFF"/>
          </w:tcPr>
          <w:p>
            <w:r>
              <w:rPr>
                <w:rFonts w:ascii="Segoe UI" w:hAnsi="Segoe UI"/>
                <w:b/>
                <w:color w:val="0F172A"/>
                <w:sz w:val="21"/>
              </w:rPr>
              <w:t>📇 [1] Ciberataque tipo ransomware afecta servidor administrativo</w:t>
              <w:br/>
            </w:r>
            <w:r>
              <w:rPr>
                <w:rFonts w:ascii="Courier New" w:hAnsi="Courier New"/>
                <w:color w:val="475569"/>
                <w:sz w:val="17"/>
              </w:rPr>
              <w:t>Fuente: Seguridad Digital | Sentimiento: -0.85</w:t>
              <w:br/>
            </w:r>
            <w:r>
              <w:rPr>
                <w:rFonts w:ascii="Segoe UI" w:hAnsi="Segoe UI"/>
                <w:color w:val="0284C7"/>
                <w:sz w:val="18"/>
              </w:rPr>
              <w:t>Análisis: Amenaza cibernética confirmada por reglas sintácticas.</w:t>
              <w:br/>
            </w:r>
            <w:r>
              <w:rPr>
                <w:rFonts w:ascii="Segoe UI" w:hAnsi="Segoe UI"/>
                <w:sz w:val="18"/>
              </w:rPr>
              <w:t>Resumen: Sistemas aislados preventivamente. Equipo de seguridad investiga el vector de ataque.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