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D1117"/>
  <w:body>
    <w:tbl>
      <w:tblPr>
        <w:tblpPr w:leftFromText="141" w:rightFromText="141" w:horzAnchor="margin" w:tblpY="-641"/>
        <w:tblW w:w="0" w:type="auto"/>
        <w:tblLayout w:type="fixed"/>
        <w:tblLook w:val="04A0" w:firstRow="1" w:lastRow="0" w:firstColumn="1" w:lastColumn="0" w:noHBand="0" w:noVBand="1"/>
      </w:tblPr>
      <w:tblGrid>
        <w:gridCol w:w="10800"/>
      </w:tblGrid>
      <w:tr w:rsidR="00CD2576" w:rsidRPr="00D405D8" w14:paraId="3F21B769" w14:textId="77777777" w:rsidTr="006B22E1">
        <w:trPr>
          <w:cantSplit/>
          <w:trHeight w:val="694"/>
        </w:trPr>
        <w:tc>
          <w:tcPr>
            <w:tcW w:w="10800" w:type="dxa"/>
            <w:tcBorders>
              <w:top w:val="single" w:sz="6" w:space="0" w:color="30363D"/>
              <w:left w:val="single" w:sz="6" w:space="0" w:color="30363D"/>
              <w:bottom w:val="single" w:sz="6" w:space="0" w:color="30363D"/>
              <w:right w:val="single" w:sz="6" w:space="0" w:color="30363D"/>
            </w:tcBorders>
            <w:shd w:val="clear" w:color="auto" w:fill="161B22"/>
          </w:tcPr>
          <w:p w14:paraId="3DAA08D5" w14:textId="36971D85" w:rsidR="00CD2576" w:rsidRPr="00D405D8" w:rsidRDefault="00000000" w:rsidP="00D405D8">
            <w:pPr>
              <w:rPr>
                <w:lang w:val="es-ES"/>
              </w:rPr>
            </w:pPr>
            <w:r w:rsidRPr="00D405D8">
              <w:rPr>
                <w:rFonts w:ascii="Courier New" w:hAnsi="Courier New"/>
                <w:b/>
                <w:color w:val="58A6FF"/>
                <w:sz w:val="36"/>
                <w:lang w:val="es-ES"/>
              </w:rPr>
              <w:t>EL OJO DEL COPORO</w:t>
            </w:r>
            <w:r w:rsidR="006B22E1">
              <w:rPr>
                <w:lang w:val="es-ES"/>
              </w:rPr>
              <w:t xml:space="preserve">: </w:t>
            </w:r>
            <w:r w:rsidRPr="00D405D8">
              <w:rPr>
                <w:b/>
                <w:color w:val="F0F6FC"/>
                <w:sz w:val="28"/>
                <w:lang w:val="es-ES"/>
              </w:rPr>
              <w:t>TRANSCRIPCIÓN DE ANÁLISIS DE IA</w:t>
            </w:r>
          </w:p>
        </w:tc>
      </w:tr>
    </w:tbl>
    <w:tbl>
      <w:tblPr>
        <w:tblpPr w:leftFromText="141" w:rightFromText="141" w:vertAnchor="text" w:horzAnchor="margin" w:tblpY="291"/>
        <w:tblW w:w="0" w:type="auto"/>
        <w:tblLayout w:type="fixed"/>
        <w:tblLook w:val="04A0" w:firstRow="1" w:lastRow="0" w:firstColumn="1" w:lastColumn="0" w:noHBand="0" w:noVBand="1"/>
      </w:tblPr>
      <w:tblGrid>
        <w:gridCol w:w="5040"/>
        <w:gridCol w:w="2581"/>
      </w:tblGrid>
      <w:tr w:rsidR="00D405D8" w14:paraId="0A3C6D4B" w14:textId="77777777" w:rsidTr="006B22E1">
        <w:tc>
          <w:tcPr>
            <w:tcW w:w="5040" w:type="dxa"/>
            <w:tcBorders>
              <w:top w:val="single" w:sz="6" w:space="0" w:color="30363D"/>
              <w:left w:val="single" w:sz="6" w:space="0" w:color="30363D"/>
              <w:bottom w:val="single" w:sz="6" w:space="0" w:color="30363D"/>
              <w:right w:val="single" w:sz="6" w:space="0" w:color="30363D"/>
            </w:tcBorders>
            <w:shd w:val="clear" w:color="auto" w:fill="161B22"/>
          </w:tcPr>
          <w:p w14:paraId="51CCC25C" w14:textId="77777777" w:rsidR="00D405D8" w:rsidRDefault="00D405D8" w:rsidP="00D405D8">
            <w:proofErr w:type="spellStart"/>
            <w:r>
              <w:rPr>
                <w:rFonts w:ascii="Courier New" w:hAnsi="Courier New"/>
                <w:b/>
                <w:color w:val="8B949E"/>
                <w:sz w:val="17"/>
              </w:rPr>
              <w:t>Usuario</w:t>
            </w:r>
            <w:proofErr w:type="spellEnd"/>
            <w:r>
              <w:rPr>
                <w:rFonts w:ascii="Courier New" w:hAnsi="Courier New"/>
                <w:b/>
                <w:color w:val="8B949E"/>
                <w:sz w:val="17"/>
              </w:rPr>
              <w:t xml:space="preserve">: </w:t>
            </w:r>
            <w:r>
              <w:rPr>
                <w:rFonts w:ascii="Courier New" w:hAnsi="Courier New"/>
                <w:color w:val="58A6FF"/>
                <w:sz w:val="17"/>
              </w:rPr>
              <w:t xml:space="preserve">Ulianov | </w:t>
            </w:r>
            <w:proofErr w:type="spellStart"/>
            <w:r>
              <w:rPr>
                <w:rFonts w:ascii="Courier New" w:hAnsi="Courier New"/>
                <w:color w:val="58A6FF"/>
                <w:sz w:val="17"/>
              </w:rPr>
              <w:t>Modelo</w:t>
            </w:r>
            <w:proofErr w:type="spellEnd"/>
            <w:r>
              <w:rPr>
                <w:rFonts w:ascii="Courier New" w:hAnsi="Courier New"/>
                <w:color w:val="58A6FF"/>
                <w:sz w:val="17"/>
              </w:rPr>
              <w:t>: llama3.2</w:t>
            </w:r>
          </w:p>
        </w:tc>
        <w:tc>
          <w:tcPr>
            <w:tcW w:w="2581" w:type="dxa"/>
            <w:tcBorders>
              <w:top w:val="single" w:sz="6" w:space="0" w:color="30363D"/>
              <w:left w:val="single" w:sz="6" w:space="0" w:color="30363D"/>
              <w:bottom w:val="single" w:sz="6" w:space="0" w:color="30363D"/>
              <w:right w:val="single" w:sz="6" w:space="0" w:color="30363D"/>
            </w:tcBorders>
            <w:shd w:val="clear" w:color="auto" w:fill="161B22"/>
          </w:tcPr>
          <w:p w14:paraId="37491877" w14:textId="77777777" w:rsidR="00D405D8" w:rsidRDefault="00D405D8" w:rsidP="00D405D8">
            <w:r>
              <w:rPr>
                <w:rFonts w:ascii="Courier New" w:hAnsi="Courier New"/>
                <w:b/>
                <w:color w:val="8B949E"/>
                <w:sz w:val="17"/>
              </w:rPr>
              <w:t xml:space="preserve">Fecha: </w:t>
            </w:r>
            <w:r>
              <w:rPr>
                <w:rFonts w:ascii="Courier New" w:hAnsi="Courier New"/>
                <w:color w:val="58A6FF"/>
                <w:sz w:val="17"/>
              </w:rPr>
              <w:t>12/08/2026 09:42</w:t>
            </w:r>
          </w:p>
        </w:tc>
      </w:tr>
      <w:tr w:rsidR="00D405D8" w14:paraId="17754FC9" w14:textId="77777777" w:rsidTr="006B22E1">
        <w:tc>
          <w:tcPr>
            <w:tcW w:w="5040" w:type="dxa"/>
            <w:tcBorders>
              <w:top w:val="single" w:sz="6" w:space="0" w:color="30363D"/>
              <w:left w:val="single" w:sz="6" w:space="0" w:color="30363D"/>
              <w:bottom w:val="single" w:sz="6" w:space="0" w:color="30363D"/>
              <w:right w:val="single" w:sz="6" w:space="0" w:color="30363D"/>
            </w:tcBorders>
            <w:shd w:val="clear" w:color="auto" w:fill="161B22"/>
          </w:tcPr>
          <w:p w14:paraId="4B39847A" w14:textId="77777777" w:rsidR="00D405D8" w:rsidRDefault="00D405D8" w:rsidP="00D405D8">
            <w:r>
              <w:rPr>
                <w:rFonts w:ascii="Courier New" w:hAnsi="Courier New"/>
                <w:b/>
                <w:color w:val="8B949E"/>
                <w:sz w:val="17"/>
              </w:rPr>
              <w:t xml:space="preserve">Temperatura: </w:t>
            </w:r>
            <w:r>
              <w:rPr>
                <w:rFonts w:ascii="Courier New" w:hAnsi="Courier New"/>
                <w:color w:val="58A6FF"/>
                <w:sz w:val="17"/>
              </w:rPr>
              <w:t>0.70</w:t>
            </w:r>
          </w:p>
        </w:tc>
        <w:tc>
          <w:tcPr>
            <w:tcW w:w="2581" w:type="dxa"/>
            <w:tcBorders>
              <w:top w:val="single" w:sz="6" w:space="0" w:color="30363D"/>
              <w:left w:val="single" w:sz="6" w:space="0" w:color="30363D"/>
              <w:bottom w:val="single" w:sz="6" w:space="0" w:color="30363D"/>
              <w:right w:val="single" w:sz="6" w:space="0" w:color="30363D"/>
            </w:tcBorders>
            <w:shd w:val="clear" w:color="auto" w:fill="161B22"/>
          </w:tcPr>
          <w:p w14:paraId="789C18EE" w14:textId="77777777" w:rsidR="00D405D8" w:rsidRDefault="00D405D8" w:rsidP="00D405D8">
            <w:r>
              <w:rPr>
                <w:rFonts w:ascii="Courier New" w:hAnsi="Courier New"/>
                <w:b/>
                <w:color w:val="8B949E"/>
                <w:sz w:val="17"/>
              </w:rPr>
              <w:t xml:space="preserve">Mensajes: </w:t>
            </w:r>
            <w:r>
              <w:rPr>
                <w:rFonts w:ascii="Courier New" w:hAnsi="Courier New"/>
                <w:color w:val="58A6FF"/>
                <w:sz w:val="17"/>
              </w:rPr>
              <w:t>2</w:t>
            </w:r>
          </w:p>
        </w:tc>
      </w:tr>
    </w:tbl>
    <w:p w14:paraId="7E34E904" w14:textId="77777777" w:rsidR="00CD2576" w:rsidRPr="00D405D8" w:rsidRDefault="00CD2576">
      <w:pPr>
        <w:rPr>
          <w:lang w:val="es-ES"/>
        </w:rPr>
      </w:pPr>
    </w:p>
    <w:p w14:paraId="4EDC3391" w14:textId="3C1B5159" w:rsidR="00CD2576" w:rsidRDefault="00D405D8">
      <w:r>
        <w:rPr>
          <w:rFonts w:ascii="Courier New" w:hAnsi="Courier New"/>
          <w:b/>
          <w:color w:val="58A6FF"/>
          <w:sz w:val="22"/>
        </w:rPr>
        <w:t xml:space="preserve"> </w:t>
      </w:r>
      <w:r w:rsidR="00000000">
        <w:rPr>
          <w:rFonts w:ascii="Courier New" w:hAnsi="Courier New"/>
          <w:b/>
          <w:color w:val="58A6FF"/>
          <w:sz w:val="22"/>
        </w:rPr>
        <w:t>ANÁLISIS DE LA IA</w:t>
      </w:r>
    </w:p>
    <w:tbl>
      <w:tblPr>
        <w:tblW w:w="0" w:type="auto"/>
        <w:tblLayout w:type="fixed"/>
        <w:tblLook w:val="04A0" w:firstRow="1" w:lastRow="0" w:firstColumn="1" w:lastColumn="0" w:noHBand="0" w:noVBand="1"/>
      </w:tblPr>
      <w:tblGrid>
        <w:gridCol w:w="10800"/>
      </w:tblGrid>
      <w:tr w:rsidR="00CD2576" w:rsidRPr="00D405D8" w14:paraId="7C0DC0E9" w14:textId="77777777">
        <w:trPr>
          <w:cantSplit/>
        </w:trPr>
        <w:tc>
          <w:tcPr>
            <w:tcW w:w="10800" w:type="dxa"/>
            <w:tcBorders>
              <w:top w:val="single" w:sz="6" w:space="0" w:color="3FB950"/>
              <w:left w:val="single" w:sz="6" w:space="0" w:color="3FB950"/>
              <w:bottom w:val="single" w:sz="6" w:space="0" w:color="3FB950"/>
              <w:right w:val="single" w:sz="6" w:space="0" w:color="3FB950"/>
            </w:tcBorders>
            <w:shd w:val="clear" w:color="auto" w:fill="161B22"/>
          </w:tcPr>
          <w:p w14:paraId="70B317EA" w14:textId="77777777" w:rsidR="00CD2576" w:rsidRPr="00D405D8" w:rsidRDefault="00000000">
            <w:pPr>
              <w:rPr>
                <w:lang w:val="es-ES"/>
              </w:rPr>
            </w:pPr>
            <w:proofErr w:type="gramStart"/>
            <w:r w:rsidRPr="00D405D8">
              <w:rPr>
                <w:rFonts w:ascii="Courier New" w:hAnsi="Courier New"/>
                <w:b/>
                <w:color w:val="3FB950"/>
                <w:sz w:val="18"/>
                <w:lang w:val="es-ES"/>
              </w:rPr>
              <w:t>OLLAMA  ▸</w:t>
            </w:r>
            <w:proofErr w:type="gramEnd"/>
            <w:r w:rsidRPr="00D405D8">
              <w:rPr>
                <w:rFonts w:ascii="Courier New" w:hAnsi="Courier New"/>
                <w:b/>
                <w:color w:val="3FB950"/>
                <w:sz w:val="18"/>
                <w:lang w:val="es-ES"/>
              </w:rPr>
              <w:t xml:space="preserve">  ANÁLISIS DE IA</w:t>
            </w:r>
          </w:p>
          <w:p w14:paraId="21A96ED6" w14:textId="2AA51BDB" w:rsidR="00CD2576" w:rsidRPr="00D405D8" w:rsidRDefault="00000000">
            <w:pPr>
              <w:rPr>
                <w:lang w:val="es-ES"/>
              </w:rPr>
            </w:pPr>
            <w:r w:rsidRPr="00D405D8">
              <w:rPr>
                <w:sz w:val="20"/>
                <w:lang w:val="es-ES"/>
              </w:rPr>
              <w:t>**Informe: Acercamiento diplomático entre Venezuela y Israel**</w:t>
            </w:r>
            <w:r w:rsidRPr="00D405D8">
              <w:rPr>
                <w:sz w:val="20"/>
                <w:lang w:val="es-ES"/>
              </w:rPr>
              <w:br/>
            </w:r>
            <w:r w:rsidRPr="00D405D8">
              <w:rPr>
                <w:sz w:val="20"/>
                <w:lang w:val="es-ES"/>
              </w:rPr>
              <w:br/>
              <w:t>**Resumen**</w:t>
            </w:r>
            <w:r w:rsidRPr="00D405D8">
              <w:rPr>
                <w:sz w:val="20"/>
                <w:lang w:val="es-ES"/>
              </w:rPr>
              <w:br/>
              <w:t>Después de 17 años de distancia, los gobiernos de Venezuela e Israel han dado un paso hacia la reconexión al anunciar el establecimiento de un mecanismo que permitirá la prestación de servicios consulares a sus ciudadanos residentes en el otro país. Este acuerdo no implica la restauración de relaciones diplomáticas, pero marca un punto de inflexión en la cooperación entre ambos países.</w:t>
            </w:r>
            <w:r w:rsidRPr="00D405D8">
              <w:rPr>
                <w:sz w:val="20"/>
                <w:lang w:val="es-ES"/>
              </w:rPr>
              <w:br/>
            </w:r>
            <w:r w:rsidRPr="00D405D8">
              <w:rPr>
                <w:sz w:val="20"/>
                <w:lang w:val="es-ES"/>
              </w:rPr>
              <w:br/>
              <w:t>**Historia detrás del acercamiento**</w:t>
            </w:r>
            <w:r w:rsidRPr="00D405D8">
              <w:rPr>
                <w:sz w:val="20"/>
                <w:lang w:val="es-ES"/>
              </w:rPr>
              <w:br/>
              <w:t>Las relaciones diplomáticas entre Venezuela e Israel se rotaron en 2009, cuando Hugo Chávez protestó contra la Operación Plomo Fundido emprendida por las Fuerzas de Defensa de Israel. Desde entonces, las relaciones han sido tensas, con Venezuela alineada con el "eje de la resistencia" y en contra de EE.UU. y su aliado en Medio Oriente, Israel.</w:t>
            </w:r>
            <w:r w:rsidRPr="00D405D8">
              <w:rPr>
                <w:sz w:val="20"/>
                <w:lang w:val="es-ES"/>
              </w:rPr>
              <w:br/>
            </w:r>
            <w:r w:rsidRPr="00D405D8">
              <w:rPr>
                <w:sz w:val="20"/>
                <w:lang w:val="es-ES"/>
              </w:rPr>
              <w:br/>
              <w:t>Sin embargo, a partir de la captura del presidente de Venezuela, Nicolás Maduro, por parte de EE.UU. en enero, las autoridades venezolanas comenzaron a abandonar el discurso antiestadounidense de Chávez. El establecimiento del gobierno interino de Delcy Rodríguez también contribuyó a este cambio.</w:t>
            </w:r>
            <w:r w:rsidRPr="00D405D8">
              <w:rPr>
                <w:sz w:val="20"/>
                <w:lang w:val="es-ES"/>
              </w:rPr>
              <w:br/>
            </w:r>
            <w:r w:rsidRPr="00D405D8">
              <w:rPr>
                <w:sz w:val="20"/>
                <w:lang w:val="es-ES"/>
              </w:rPr>
              <w:br/>
              <w:t>**La cooperación en la emergencia**</w:t>
            </w:r>
            <w:r w:rsidRPr="00D405D8">
              <w:rPr>
                <w:sz w:val="20"/>
                <w:lang w:val="es-ES"/>
              </w:rPr>
              <w:br/>
              <w:t>El punto de inflexión en el acercamiento con Israel se produjo tras el terremoto del 24 de junio, cuando EE.UU. envió brigadas de rescatistas para colaborar con la búsqueda de sobrevivientes y expertos que ayudaron a evaluar las estructuras colapsadas. La comunidad judía en Venezuela también desempeñó un papel importante en este proceso.</w:t>
            </w:r>
            <w:r w:rsidRPr="00D405D8">
              <w:rPr>
                <w:sz w:val="20"/>
                <w:lang w:val="es-ES"/>
              </w:rPr>
              <w:br/>
            </w:r>
            <w:r w:rsidRPr="00D405D8">
              <w:rPr>
                <w:sz w:val="20"/>
                <w:lang w:val="es-ES"/>
              </w:rPr>
              <w:br/>
              <w:t>**El acuerdo actual**</w:t>
            </w:r>
            <w:r w:rsidRPr="00D405D8">
              <w:rPr>
                <w:sz w:val="20"/>
                <w:lang w:val="es-ES"/>
              </w:rPr>
              <w:br/>
              <w:t xml:space="preserve">El comunicado de esta semana informa que ambos países han acordado "permitir la continuidad de la cooperación técnica bilateral derivada de los esfuerzos de emergencia y recuperación tras el doble terremoto". El ministro de Exteriores de Israel, Gideon </w:t>
            </w:r>
            <w:proofErr w:type="spellStart"/>
            <w:r w:rsidRPr="00D405D8">
              <w:rPr>
                <w:sz w:val="20"/>
                <w:lang w:val="es-ES"/>
              </w:rPr>
              <w:t>Sa'ar</w:t>
            </w:r>
            <w:proofErr w:type="spellEnd"/>
            <w:r w:rsidRPr="00D405D8">
              <w:rPr>
                <w:sz w:val="20"/>
                <w:lang w:val="es-ES"/>
              </w:rPr>
              <w:t>, confirmó este acuerdo, aunque mencionó explícitamente "la reanudación de las relaciones consulares entre Israel y Venezuela".</w:t>
            </w:r>
            <w:r w:rsidRPr="00D405D8">
              <w:rPr>
                <w:sz w:val="20"/>
                <w:lang w:val="es-ES"/>
              </w:rPr>
              <w:br/>
            </w:r>
            <w:r w:rsidRPr="00D405D8">
              <w:rPr>
                <w:sz w:val="20"/>
                <w:lang w:val="es-ES"/>
              </w:rPr>
              <w:br/>
              <w:t>**Implicaciones**</w:t>
            </w:r>
            <w:r w:rsidRPr="00D405D8">
              <w:rPr>
                <w:sz w:val="20"/>
                <w:lang w:val="es-ES"/>
              </w:rPr>
              <w:br/>
              <w:t>El establecimiento de un mecanismo para la prestación de servicios consulares a sus ciudadanos residentes en el otro país marca un paso hacia la reconexión entre ambos países. Aunque no implica la restauración de relaciones diplomáticas, puede ser un precedente para futuras negociaciones.</w:t>
            </w:r>
            <w:r w:rsidRPr="00D405D8">
              <w:rPr>
                <w:sz w:val="20"/>
                <w:lang w:val="es-ES"/>
              </w:rPr>
              <w:br/>
            </w:r>
            <w:r w:rsidRPr="00D405D8">
              <w:rPr>
                <w:sz w:val="20"/>
                <w:lang w:val="es-ES"/>
              </w:rPr>
              <w:br/>
              <w:t>**Conclusión**</w:t>
            </w:r>
            <w:r w:rsidRPr="00D405D8">
              <w:rPr>
                <w:sz w:val="20"/>
                <w:lang w:val="es-ES"/>
              </w:rPr>
              <w:br/>
              <w:t>El acercamiento diplomático entre Venezuela e Israel es un paso importante hacia una mayor cooperación y reconciliación entre ambos países. Es un ejemplo de cómo las circunstancias cambiantes pueden llevar a un cambio en la política exterior de un país, y cómo la cooperación en áreas como la emergencia y la recuperación puede ser un punto de inflexión en la reconexión.</w:t>
            </w:r>
          </w:p>
        </w:tc>
      </w:tr>
    </w:tbl>
    <w:p w14:paraId="36AE9B30" w14:textId="77777777" w:rsidR="00CD2576" w:rsidRPr="00D405D8" w:rsidRDefault="00CD2576">
      <w:pPr>
        <w:rPr>
          <w:lang w:val="es-ES"/>
        </w:rPr>
      </w:pPr>
    </w:p>
    <w:p w14:paraId="638453AE" w14:textId="77777777" w:rsidR="00CD2576" w:rsidRDefault="00000000">
      <w:r>
        <w:rPr>
          <w:rFonts w:ascii="Courier New" w:hAnsi="Courier New"/>
          <w:b/>
          <w:color w:val="58A6FF"/>
          <w:sz w:val="22"/>
        </w:rPr>
        <w:lastRenderedPageBreak/>
        <w:t>RESUMEN DE LA SESIÓN</w:t>
      </w:r>
    </w:p>
    <w:tbl>
      <w:tblPr>
        <w:tblW w:w="0" w:type="auto"/>
        <w:tblLayout w:type="fixed"/>
        <w:tblLook w:val="04A0" w:firstRow="1" w:lastRow="0" w:firstColumn="1" w:lastColumn="0" w:noHBand="0" w:noVBand="1"/>
      </w:tblPr>
      <w:tblGrid>
        <w:gridCol w:w="3600"/>
        <w:gridCol w:w="3600"/>
        <w:gridCol w:w="3600"/>
      </w:tblGrid>
      <w:tr w:rsidR="00CD2576" w14:paraId="6CCA8B30" w14:textId="77777777">
        <w:tc>
          <w:tcPr>
            <w:tcW w:w="3600" w:type="dxa"/>
            <w:tcBorders>
              <w:top w:val="single" w:sz="6" w:space="0" w:color="30363D"/>
              <w:left w:val="single" w:sz="6" w:space="0" w:color="30363D"/>
              <w:bottom w:val="single" w:sz="6" w:space="0" w:color="30363D"/>
              <w:right w:val="single" w:sz="6" w:space="0" w:color="30363D"/>
            </w:tcBorders>
            <w:shd w:val="clear" w:color="auto" w:fill="21262D"/>
          </w:tcPr>
          <w:p w14:paraId="668B32D8" w14:textId="77777777" w:rsidR="00CD2576" w:rsidRDefault="00000000">
            <w:r>
              <w:rPr>
                <w:rFonts w:ascii="Courier New" w:hAnsi="Courier New"/>
                <w:b/>
                <w:color w:val="58A6FF"/>
                <w:sz w:val="17"/>
              </w:rPr>
              <w:t>Consultas</w:t>
            </w:r>
          </w:p>
        </w:tc>
        <w:tc>
          <w:tcPr>
            <w:tcW w:w="3600" w:type="dxa"/>
            <w:tcBorders>
              <w:top w:val="single" w:sz="6" w:space="0" w:color="30363D"/>
              <w:left w:val="single" w:sz="6" w:space="0" w:color="30363D"/>
              <w:bottom w:val="single" w:sz="6" w:space="0" w:color="30363D"/>
              <w:right w:val="single" w:sz="6" w:space="0" w:color="30363D"/>
            </w:tcBorders>
            <w:shd w:val="clear" w:color="auto" w:fill="21262D"/>
          </w:tcPr>
          <w:p w14:paraId="052A733F" w14:textId="77777777" w:rsidR="00CD2576" w:rsidRDefault="00000000">
            <w:r>
              <w:rPr>
                <w:rFonts w:ascii="Courier New" w:hAnsi="Courier New"/>
                <w:b/>
                <w:color w:val="58A6FF"/>
                <w:sz w:val="17"/>
              </w:rPr>
              <w:t>Respuestas</w:t>
            </w:r>
          </w:p>
        </w:tc>
        <w:tc>
          <w:tcPr>
            <w:tcW w:w="3600" w:type="dxa"/>
            <w:tcBorders>
              <w:top w:val="single" w:sz="6" w:space="0" w:color="30363D"/>
              <w:left w:val="single" w:sz="6" w:space="0" w:color="30363D"/>
              <w:bottom w:val="single" w:sz="6" w:space="0" w:color="30363D"/>
              <w:right w:val="single" w:sz="6" w:space="0" w:color="30363D"/>
            </w:tcBorders>
            <w:shd w:val="clear" w:color="auto" w:fill="21262D"/>
          </w:tcPr>
          <w:p w14:paraId="4893E525" w14:textId="77777777" w:rsidR="00CD2576" w:rsidRDefault="00000000">
            <w:r>
              <w:rPr>
                <w:rFonts w:ascii="Courier New" w:hAnsi="Courier New"/>
                <w:b/>
                <w:color w:val="58A6FF"/>
                <w:sz w:val="17"/>
              </w:rPr>
              <w:t>Palabras totales</w:t>
            </w:r>
          </w:p>
        </w:tc>
      </w:tr>
      <w:tr w:rsidR="00CD2576" w14:paraId="28C048A7" w14:textId="77777777">
        <w:tc>
          <w:tcPr>
            <w:tcW w:w="3600" w:type="dxa"/>
            <w:tcBorders>
              <w:top w:val="single" w:sz="6" w:space="0" w:color="30363D"/>
              <w:left w:val="single" w:sz="6" w:space="0" w:color="30363D"/>
              <w:bottom w:val="single" w:sz="6" w:space="0" w:color="30363D"/>
              <w:right w:val="single" w:sz="6" w:space="0" w:color="30363D"/>
            </w:tcBorders>
            <w:shd w:val="clear" w:color="auto" w:fill="161B22"/>
          </w:tcPr>
          <w:p w14:paraId="314AACF8" w14:textId="77777777" w:rsidR="00CD2576" w:rsidRDefault="00000000">
            <w:r>
              <w:rPr>
                <w:rFonts w:ascii="Courier New" w:hAnsi="Courier New"/>
                <w:sz w:val="17"/>
              </w:rPr>
              <w:t>1</w:t>
            </w:r>
          </w:p>
        </w:tc>
        <w:tc>
          <w:tcPr>
            <w:tcW w:w="3600" w:type="dxa"/>
            <w:tcBorders>
              <w:top w:val="single" w:sz="6" w:space="0" w:color="30363D"/>
              <w:left w:val="single" w:sz="6" w:space="0" w:color="30363D"/>
              <w:bottom w:val="single" w:sz="6" w:space="0" w:color="30363D"/>
              <w:right w:val="single" w:sz="6" w:space="0" w:color="30363D"/>
            </w:tcBorders>
            <w:shd w:val="clear" w:color="auto" w:fill="161B22"/>
          </w:tcPr>
          <w:p w14:paraId="18DA7BBD" w14:textId="77777777" w:rsidR="00CD2576" w:rsidRDefault="00000000">
            <w:r>
              <w:rPr>
                <w:rFonts w:ascii="Courier New" w:hAnsi="Courier New"/>
                <w:sz w:val="17"/>
              </w:rPr>
              <w:t>1</w:t>
            </w:r>
          </w:p>
        </w:tc>
        <w:tc>
          <w:tcPr>
            <w:tcW w:w="3600" w:type="dxa"/>
            <w:tcBorders>
              <w:top w:val="single" w:sz="6" w:space="0" w:color="30363D"/>
              <w:left w:val="single" w:sz="6" w:space="0" w:color="30363D"/>
              <w:bottom w:val="single" w:sz="6" w:space="0" w:color="30363D"/>
              <w:right w:val="single" w:sz="6" w:space="0" w:color="30363D"/>
            </w:tcBorders>
            <w:shd w:val="clear" w:color="auto" w:fill="161B22"/>
          </w:tcPr>
          <w:p w14:paraId="10C9CCBE" w14:textId="77777777" w:rsidR="00CD2576" w:rsidRDefault="00000000">
            <w:r>
              <w:rPr>
                <w:rFonts w:ascii="Courier New" w:hAnsi="Courier New"/>
                <w:sz w:val="17"/>
              </w:rPr>
              <w:t>937</w:t>
            </w:r>
          </w:p>
        </w:tc>
      </w:tr>
    </w:tbl>
    <w:p w14:paraId="73AFE7E9" w14:textId="77777777" w:rsidR="00CD2576" w:rsidRDefault="00CD2576"/>
    <w:sectPr w:rsidR="00CD2576" w:rsidSect="00034616">
      <w:footerReference w:type="default" r:id="rId8"/>
      <w:pgSz w:w="12240" w:h="15840"/>
      <w:pgMar w:top="864" w:right="720" w:bottom="86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FEAD0" w14:textId="77777777" w:rsidR="00842351" w:rsidRDefault="00842351">
      <w:pPr>
        <w:spacing w:after="0" w:line="240" w:lineRule="auto"/>
      </w:pPr>
      <w:r>
        <w:separator/>
      </w:r>
    </w:p>
  </w:endnote>
  <w:endnote w:type="continuationSeparator" w:id="0">
    <w:p w14:paraId="39780F66" w14:textId="77777777" w:rsidR="00842351" w:rsidRDefault="0084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8E659" w14:textId="77777777" w:rsidR="00CD2576" w:rsidRPr="00D405D8" w:rsidRDefault="00000000">
    <w:pPr>
      <w:pStyle w:val="Footer"/>
      <w:jc w:val="center"/>
      <w:rPr>
        <w:lang w:val="es-ES"/>
      </w:rPr>
    </w:pPr>
    <w:r w:rsidRPr="00D405D8">
      <w:rPr>
        <w:rFonts w:ascii="Courier New" w:hAnsi="Courier New"/>
        <w:color w:val="58A6FF"/>
        <w:sz w:val="16"/>
        <w:lang w:val="es-ES"/>
      </w:rPr>
      <w:t xml:space="preserve">EL OJO DEL COPORO - OSINT CONFIDENCIAL  |  Página </w:t>
    </w:r>
    <w:r>
      <w:rPr>
        <w:rFonts w:ascii="Courier New" w:hAnsi="Courier New"/>
        <w:color w:val="58A6FF"/>
        <w:sz w:val="16"/>
      </w:rPr>
      <w:fldChar w:fldCharType="begin"/>
    </w:r>
    <w:r w:rsidRPr="00D405D8">
      <w:rPr>
        <w:rFonts w:ascii="Courier New" w:hAnsi="Courier New"/>
        <w:color w:val="58A6FF"/>
        <w:sz w:val="16"/>
        <w:lang w:val="es-ES"/>
      </w:rPr>
      <w:instrText>PAGE</w:instrText>
    </w:r>
    <w:r w:rsidR="00D405D8">
      <w:rPr>
        <w:rFonts w:ascii="Courier New" w:hAnsi="Courier New"/>
        <w:color w:val="58A6FF"/>
        <w:sz w:val="16"/>
      </w:rPr>
      <w:fldChar w:fldCharType="separate"/>
    </w:r>
    <w:r w:rsidR="00D405D8" w:rsidRPr="00D405D8">
      <w:rPr>
        <w:rFonts w:ascii="Courier New" w:hAnsi="Courier New"/>
        <w:noProof/>
        <w:color w:val="58A6FF"/>
        <w:sz w:val="16"/>
        <w:lang w:val="es-ES"/>
      </w:rPr>
      <w:t>1</w:t>
    </w:r>
    <w:r>
      <w:rPr>
        <w:rFonts w:ascii="Courier New" w:hAnsi="Courier New"/>
        <w:color w:val="58A6F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C3AD4" w14:textId="77777777" w:rsidR="00842351" w:rsidRDefault="00842351">
      <w:pPr>
        <w:spacing w:after="0" w:line="240" w:lineRule="auto"/>
      </w:pPr>
      <w:r>
        <w:separator/>
      </w:r>
    </w:p>
  </w:footnote>
  <w:footnote w:type="continuationSeparator" w:id="0">
    <w:p w14:paraId="73419011" w14:textId="77777777" w:rsidR="00842351" w:rsidRDefault="0084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244510">
    <w:abstractNumId w:val="8"/>
  </w:num>
  <w:num w:numId="2" w16cid:durableId="141971292">
    <w:abstractNumId w:val="6"/>
  </w:num>
  <w:num w:numId="3" w16cid:durableId="379132686">
    <w:abstractNumId w:val="5"/>
  </w:num>
  <w:num w:numId="4" w16cid:durableId="939996497">
    <w:abstractNumId w:val="4"/>
  </w:num>
  <w:num w:numId="5" w16cid:durableId="928347118">
    <w:abstractNumId w:val="7"/>
  </w:num>
  <w:num w:numId="6" w16cid:durableId="1939098841">
    <w:abstractNumId w:val="3"/>
  </w:num>
  <w:num w:numId="7" w16cid:durableId="516819359">
    <w:abstractNumId w:val="2"/>
  </w:num>
  <w:num w:numId="8" w16cid:durableId="1385524657">
    <w:abstractNumId w:val="1"/>
  </w:num>
  <w:num w:numId="9" w16cid:durableId="196734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22E1"/>
    <w:rsid w:val="00842351"/>
    <w:rsid w:val="00AA1D8D"/>
    <w:rsid w:val="00B47730"/>
    <w:rsid w:val="00CB0664"/>
    <w:rsid w:val="00CD2576"/>
    <w:rsid w:val="00D405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B1CF7"/>
  <w14:defaultImageDpi w14:val="300"/>
  <w15:docId w15:val="{77A4FCC8-F59C-431B-A4B0-1BB8E26B4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C9D1D9"/>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445</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Ulianov Zulueta</cp:lastModifiedBy>
  <cp:revision>3</cp:revision>
  <dcterms:created xsi:type="dcterms:W3CDTF">2013-12-23T23:15:00Z</dcterms:created>
  <dcterms:modified xsi:type="dcterms:W3CDTF">2026-08-12T13:45:00Z</dcterms:modified>
  <cp:category/>
</cp:coreProperties>
</file>