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/>
      <w:bookmarkStart w:id="0" w:name="_Hlk120634486"/>
      <w:r/>
      <w:bookmarkEnd w:id="0"/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МИНИСТЕРСТВО ТРАНСПОРТА РОССИЙСКОЙ ФЕДЕРАЦИИ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center"/>
        <w:rPr>
          <w:rFonts w:eastAsia="Calibri"/>
          <w:b/>
          <w:color w:val="auto"/>
          <w:szCs w:val="28"/>
          <w:lang w:val="ru-RU"/>
          <w14:ligatures w14:val="standardContextual"/>
        </w:rPr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  <w:br/>
        <w:t xml:space="preserve">«РОССИЙСКИЙ УНИВЕРСИТЕТ ТРАНСПОРТА»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247015</wp:posOffset>
                </wp:positionV>
                <wp:extent cx="5654040" cy="6350"/>
                <wp:effectExtent l="0" t="0" r="22860" b="31750"/>
                <wp:wrapNone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4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fill="norm" stroke="1" extrusionOk="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style="position:absolute;z-index:251659264;o:allowoverlap:true;o:allowincell:true;mso-position-horizontal-relative:text;margin-left:10.95pt;mso-position-horizontal:absolute;mso-position-vertical-relative:text;margin-top:19.45pt;mso-position-vertical:absolute;width:445.20pt;height:0.50pt;mso-wrap-distance-left:0.00pt;mso-wrap-distance-top:0.00pt;mso-wrap-distance-right:0.00pt;mso-wrap-distance-bottom:0.00pt;visibility:visible;" path="m0,0l100000,100000e" coordsize="100000,100000" filled="f" strokecolor="#000000" strokeweight="1.50pt">
                <v:path textboxrect="0,0,100000,100000"/>
              </v:shape>
            </w:pict>
          </mc:Fallback>
        </mc:AlternateConten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РУТ (МИИТ)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b/>
          <w:color w:val="auto"/>
          <w:szCs w:val="28"/>
          <w:lang w:val="ru-RU"/>
          <w14:ligatures w14:val="standardContextual"/>
        </w:rPr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Кафедра «Цифровые технологии и управление транспортными процессами»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Лабораторная работа № 1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 «Инфраструктурное программное обеспечение»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на тему: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 «ПКП. Архитектурные кейсы часть 1»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Выполнил: студент гр. УВП-171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Купленик С. С.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tabs>
          <w:tab w:val="left" w:leader="none" w:pos="7371"/>
        </w:tabs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tabs>
          <w:tab w:val="left" w:leader="none" w:pos="7371"/>
        </w:tabs>
        <w:spacing w:after="160" w:line="276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Принял: Старший преподаватель кафедры ЦТУТП Заманов Е. А..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right"/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pPr>
      <w:r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r>
      <w:r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/>
        <w:ind w:firstLine="0"/>
        <w:jc w:val="center"/>
        <w:rPr/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Москва – 2026</w:t>
      </w:r>
      <w:r>
        <w:br w:type="page" w:clear="all"/>
      </w:r>
      <w:r/>
    </w:p>
    <w:p>
      <w:pPr>
        <w:pStyle w:val="867"/>
        <w:pBdr/>
        <w:spacing/>
        <w:ind/>
        <w:rPr/>
      </w:pPr>
      <w:r>
        <w:t xml:space="preserve">СОДЕРЖАНИЕ</w:t>
      </w:r>
      <w:r/>
    </w:p>
    <w:p>
      <w:pPr>
        <w:pStyle w:val="189"/>
        <w:pBdr/>
        <w:tabs>
          <w:tab w:val="right" w:leader="dot" w:pos="9355"/>
        </w:tabs>
        <w:spacing/>
        <w:ind/>
        <w:rPr/>
      </w:pPr>
      <w:r>
        <w:fldChar w:fldCharType="begin"/>
        <w:instrText xml:space="preserve"> TOC \o "1-3" \h \z \u </w:instrText>
        <w:fldChar w:fldCharType="separate"/>
      </w:r>
      <w:r/>
      <w:hyperlink w:tooltip="#_Toc1" w:anchor="_Toc1" w:history="1">
        <w:r>
          <w:rPr>
            <w:rStyle w:val="187"/>
          </w:rPr>
        </w:r>
        <w:r>
          <w:rPr>
            <w:rStyle w:val="187"/>
          </w:rPr>
          <w:t xml:space="preserve">ЦЕЛЬ РАБОТЫ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3</w:t>
          <w:fldChar w:fldCharType="end"/>
        </w:r>
      </w:hyperlink>
      <w:r/>
    </w:p>
    <w:p>
      <w:pPr>
        <w:pStyle w:val="189"/>
        <w:pBdr/>
        <w:tabs>
          <w:tab w:val="right" w:leader="dot" w:pos="9355"/>
        </w:tabs>
        <w:spacing/>
        <w:ind/>
        <w:rPr/>
      </w:pPr>
      <w:hyperlink w:tooltip="#_Toc2" w:anchor="_Toc2" w:history="1">
        <w:r>
          <w:rPr>
            <w:rStyle w:val="187"/>
          </w:rPr>
        </w:r>
        <w:r>
          <w:rPr>
            <w:rStyle w:val="187"/>
          </w:rPr>
          <w:t xml:space="preserve">ХОД РАБОТЫ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4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3" w:anchor="_Toc3" w:history="1">
        <w:r>
          <w:rPr>
            <w:rStyle w:val="187"/>
          </w:rPr>
        </w:r>
        <w:r>
          <w:rPr>
            <w:rStyle w:val="187"/>
          </w:rPr>
          <w:t xml:space="preserve">NotificationService и разные каналы доставки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4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4" w:anchor="_Toc4" w:history="1">
        <w:r>
          <w:rPr>
            <w:rStyle w:val="187"/>
          </w:rPr>
        </w:r>
        <w:r>
          <w:rPr>
            <w:rStyle w:val="187"/>
          </w:rPr>
          <w:t xml:space="preserve">Order, Payment и Inventory без возврата к монолиту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4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5" w:anchor="_Toc5" w:history="1">
        <w:r>
          <w:rPr>
            <w:rStyle w:val="187"/>
          </w:rPr>
        </w:r>
        <w:r>
          <w:rPr>
            <w:rStyle w:val="187"/>
          </w:rPr>
          <w:t xml:space="preserve">Choreography и длинный бизнес-процесс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5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6" w:anchor="_Toc6" w:history="1">
        <w:r>
          <w:rPr>
            <w:rStyle w:val="187"/>
          </w:rPr>
        </w:r>
        <w:r>
          <w:rPr>
            <w:rStyle w:val="187"/>
          </w:rPr>
          <w:t xml:space="preserve">Общая логика в разнородном технологическом стеке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5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7" w:anchor="_Toc7" w:history="1">
        <w:r>
          <w:rPr>
            <w:rStyle w:val="187"/>
          </w:rPr>
        </w:r>
        <w:r>
          <w:rPr>
            <w:rStyle w:val="187"/>
          </w:rPr>
          <w:t xml:space="preserve">Shared library под давлением security-инцидента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5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8" w:anchor="_Toc8" w:history="1">
        <w:r>
          <w:rPr>
            <w:rStyle w:val="187"/>
          </w:rPr>
        </w:r>
        <w:r>
          <w:rPr>
            <w:rStyle w:val="187"/>
          </w:rPr>
          <w:t xml:space="preserve">Cross-cutting concerns и platform layer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6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9" w:anchor="_Toc9" w:history="1">
        <w:r>
          <w:rPr>
            <w:rStyle w:val="187"/>
          </w:rPr>
        </w:r>
        <w:r>
          <w:rPr>
            <w:rStyle w:val="187"/>
          </w:rPr>
          <w:t xml:space="preserve">Audit как пример shared ownership данных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_Toc9 \h</w:instrText>
          <w:fldChar w:fldCharType="separate"/>
          <w:t xml:space="preserve">6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10" w:anchor="_Toc10" w:history="1">
        <w:r>
          <w:rPr>
            <w:rStyle w:val="187"/>
          </w:rPr>
        </w:r>
        <w:r>
          <w:rPr>
            <w:rStyle w:val="187"/>
          </w:rPr>
          <w:t xml:space="preserve">Catalog и Inventory как разные владельцы данных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_Toc10 \h</w:instrText>
          <w:fldChar w:fldCharType="separate"/>
          <w:t xml:space="preserve">6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11" w:anchor="_Toc11" w:history="1">
        <w:r>
          <w:rPr>
            <w:rStyle w:val="187"/>
          </w:rPr>
        </w:r>
        <w:r>
          <w:rPr>
            <w:rStyle w:val="187"/>
          </w:rPr>
          <w:t xml:space="preserve">Локальная read-модель для Appointment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_Toc11 \h</w:instrText>
          <w:fldChar w:fldCharType="separate"/>
          <w:t xml:space="preserve">6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12" w:anchor="_Toc12" w:history="1">
        <w:r>
          <w:rPr>
            <w:rStyle w:val="187"/>
          </w:rPr>
        </w:r>
        <w:r>
          <w:rPr>
            <w:rStyle w:val="187"/>
          </w:rPr>
          <w:t xml:space="preserve">Выделение владельца тарификации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_Toc12 \h</w:instrText>
          <w:fldChar w:fldCharType="separate"/>
          <w:t xml:space="preserve">7</w:t>
          <w:fldChar w:fldCharType="end"/>
        </w:r>
      </w:hyperlink>
      <w:r/>
    </w:p>
    <w:p>
      <w:pPr>
        <w:pStyle w:val="189"/>
        <w:pBdr/>
        <w:tabs>
          <w:tab w:val="right" w:leader="dot" w:pos="9355"/>
        </w:tabs>
        <w:spacing/>
        <w:ind/>
        <w:rPr/>
      </w:pPr>
      <w:hyperlink w:tooltip="#_Toc13" w:anchor="_Toc13" w:history="1">
        <w:r>
          <w:rPr>
            <w:rStyle w:val="187"/>
          </w:rPr>
        </w:r>
        <w:r>
          <w:rPr>
            <w:rStyle w:val="187"/>
          </w:rPr>
          <w:t xml:space="preserve">ЗАКЛЮЧЕНИЕ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_Toc13 \h</w:instrText>
          <w:fldChar w:fldCharType="separate"/>
          <w:t xml:space="preserve">8</w:t>
          <w:fldChar w:fldCharType="end"/>
        </w:r>
      </w:hyperlink>
      <w:r/>
    </w:p>
    <w:p>
      <w:pPr>
        <w:pStyle w:val="863"/>
        <w:pBdr/>
        <w:spacing/>
        <w:ind w:firstLine="0"/>
        <w:rPr/>
      </w:pPr>
      <w:r/>
      <w:r>
        <w:fldChar w:fldCharType="end"/>
      </w: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4"/>
        <w:pBdr/>
        <w:spacing/>
        <w:ind/>
        <w:rPr/>
      </w:pPr>
      <w:r/>
      <w:bookmarkStart w:id="1" w:name="_Toc1"/>
      <w:r>
        <w:t xml:space="preserve">ЦЕЛЬ РАБОТЫ</w:t>
      </w:r>
      <w:r/>
      <w:bookmarkEnd w:id="1"/>
      <w:r/>
      <w:r/>
    </w:p>
    <w:p>
      <w:pPr>
        <w:pStyle w:val="862"/>
        <w:pBdr/>
        <w:spacing/>
        <w:ind/>
        <w:rPr/>
      </w:pPr>
      <w:r>
        <w:t xml:space="preserve">Цель работы состояла в разборе архитектурных кейсов, связанных с микросервисной декомпозицией, распределённой согласованностью, общим владением данными, сервисной</w:t>
      </w:r>
      <w:r>
        <w:t xml:space="preserve"> координацией и платформенными обязанностями. По каждому кейсу требовалось не просто назвать вариант ответа, а выбрать архитектурное решение и обосновать его с точки зрения практических последствий для эксплуатации, масштабирования и сопровождения системы.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4"/>
        <w:pBdr/>
        <w:spacing/>
        <w:ind/>
        <w:rPr/>
      </w:pPr>
      <w:r/>
      <w:bookmarkStart w:id="2" w:name="_Toc2"/>
      <w:r>
        <w:t xml:space="preserve">ХОД РАБОТЫ</w:t>
      </w:r>
      <w:r/>
      <w:bookmarkEnd w:id="2"/>
      <w:r/>
      <w:r/>
    </w:p>
    <w:p>
      <w:pPr>
        <w:pStyle w:val="862"/>
        <w:pBdr/>
        <w:spacing/>
        <w:ind/>
        <w:rPr/>
      </w:pPr>
      <w:r>
        <w:t xml:space="preserve">Работа представляла собой последовательный анализ десяти кейсов. В каждом случае оценивались границы сервисов, характер связнос</w:t>
      </w:r>
      <w:r>
        <w:t xml:space="preserve">ти, последствия shared ownership, допустимость eventual consistency и влияние решения на управляемость всей системы. Основной принцип разбора состоял в том, что архитектурное решение должно уменьшать не только логическую, но и эксплуатационную связанность.</w:t>
      </w:r>
      <w:r/>
    </w:p>
    <w:p>
      <w:pPr>
        <w:pStyle w:val="865"/>
        <w:pBdr/>
        <w:spacing/>
        <w:ind/>
        <w:rPr/>
      </w:pPr>
      <w:r/>
      <w:bookmarkStart w:id="3" w:name="_Toc3"/>
      <w:r>
        <w:t xml:space="preserve">NotificationService и разные каналы доставки</w:t>
      </w:r>
      <w:r/>
      <w:bookmarkEnd w:id="3"/>
      <w:r/>
      <w:r/>
    </w:p>
    <w:p>
      <w:pPr>
        <w:pStyle w:val="862"/>
        <w:pBdr/>
        <w:spacing/>
        <w:ind/>
        <w:rPr/>
      </w:pPr>
      <w:r>
        <w:t xml:space="preserve">Хотя email, push и SMS относятся к одной предметной области уведомлений, их эксплуатационная ценность различается. OTP-SMS является критичным и чувствительным к задержкам каналом, тогда как почтовая рассылка обычно терпимее к сбоям и временн</w:t>
      </w:r>
      <w:r>
        <w:t xml:space="preserve">ой деградации. По этой причине разделение сервиса, как минимум с вынесением SMS в отдельный компонент, является более устойчивым решением. Оно не позволяет проблемам в email-стеке влиять на критический путь аутентификации и повышает управляемость нагрузки.</w:t>
      </w:r>
      <w:r/>
    </w:p>
    <w:p>
      <w:pPr>
        <w:pStyle w:val="865"/>
        <w:pBdr/>
        <w:spacing/>
        <w:ind/>
        <w:rPr/>
      </w:pPr>
      <w:r/>
      <w:bookmarkStart w:id="4" w:name="_Toc4"/>
      <w:r>
        <w:t xml:space="preserve">Order, Payment и Inventory без возврата к монолиту</w:t>
      </w:r>
      <w:r/>
      <w:bookmarkEnd w:id="4"/>
      <w:r/>
      <w:r/>
    </w:p>
    <w:p>
      <w:pPr>
        <w:pStyle w:val="862"/>
        <w:pBdr/>
        <w:spacing/>
        <w:ind/>
        <w:rPr/>
      </w:pPr>
      <w:r>
        <w:t xml:space="preserve">Возврат к монолиту только ради жёсткой транзакционности выглядит избыточным, если бизнес-процесс допускает управляемую последовательность шагов. В большинстве таких случаев предпочтительнее saga-подход с компенса</w:t>
      </w:r>
      <w:r>
        <w:t xml:space="preserve">циями. Он позволяет сохранить автономность сервисов и одновременно зафиксировать понятную бизнес-логику отката. Укрупнение границ сервисов оправдано лишь тогда, когда даже краткий период eventual consistency принципиально недопустим для предметной области.</w:t>
      </w:r>
      <w:r/>
    </w:p>
    <w:p>
      <w:pPr>
        <w:pStyle w:val="865"/>
        <w:pBdr/>
        <w:spacing/>
        <w:ind/>
        <w:rPr/>
      </w:pPr>
      <w:r/>
      <w:bookmarkStart w:id="5" w:name="_Toc5"/>
      <w:r>
        <w:t xml:space="preserve">Choreography и длинный бизнес-процесс</w:t>
      </w:r>
      <w:r/>
      <w:bookmarkEnd w:id="5"/>
      <w:r/>
      <w:r/>
    </w:p>
    <w:p>
      <w:pPr>
        <w:pStyle w:val="862"/>
        <w:pBdr/>
        <w:spacing/>
        <w:ind/>
        <w:rPr/>
      </w:pPr>
      <w:r>
        <w:t xml:space="preserve">При большом количестве участников чистая choreography начинает хуже масштабироваться по наблюдаемости. Если один из сервисов перестаёт публиковать ожидаемое событие, процесс становится трудно диагностиро</w:t>
      </w:r>
      <w:r>
        <w:t xml:space="preserve">вать и сопровождать. Поэтому для длинных сценариев с множеством зависимых шагов более оправдан coordinator или orchestration. Центральный управляющий компонент в таком случае полезен тем, что хранит общее состояние процесса, таймауты и правила компенсации.</w:t>
      </w:r>
      <w:r/>
    </w:p>
    <w:p>
      <w:pPr>
        <w:pStyle w:val="865"/>
        <w:pBdr/>
        <w:spacing/>
        <w:ind/>
        <w:rPr/>
      </w:pPr>
      <w:r/>
      <w:bookmarkStart w:id="6" w:name="_Toc6"/>
      <w:r>
        <w:t xml:space="preserve">Общая логика в разнородном технологическом стеке</w:t>
      </w:r>
      <w:r/>
      <w:bookmarkEnd w:id="6"/>
      <w:r/>
      <w:r/>
    </w:p>
    <w:p>
      <w:pPr>
        <w:pStyle w:val="862"/>
        <w:pBdr/>
        <w:spacing/>
        <w:ind/>
        <w:rPr/>
      </w:pPr>
      <w:r>
        <w:t xml:space="preserve">Когда одна и та же бизнес-логика требуется сервисам на Go, Java и Node, shared library перестаёт быть по-настоящему общей. Она превращается в несколько реализаций с риском рассинхронизации и ра</w:t>
      </w:r>
      <w:r>
        <w:t xml:space="preserve">зличий в поведении. В такой ситуации отдельный расчётный сервис выглядит более последовательным решением: он немного увеличивает сетевую связанность, но обеспечивает единство логики, централизованное обновление и одинаковый результат для всех потребителей.</w:t>
      </w:r>
      <w:r/>
    </w:p>
    <w:p>
      <w:pPr>
        <w:pStyle w:val="865"/>
        <w:pBdr/>
        <w:spacing/>
        <w:ind/>
        <w:rPr/>
      </w:pPr>
      <w:r/>
      <w:bookmarkStart w:id="7" w:name="_Toc7"/>
      <w:r>
        <w:t xml:space="preserve">Shared library под давлением security-инцидента</w:t>
      </w:r>
      <w:r/>
      <w:bookmarkEnd w:id="7"/>
      <w:r/>
      <w:r/>
    </w:p>
    <w:p>
      <w:pPr>
        <w:pStyle w:val="862"/>
        <w:pBdr/>
        <w:spacing/>
        <w:ind/>
        <w:rPr/>
      </w:pPr>
      <w:r>
        <w:t xml:space="preserve">Крит</w:t>
      </w:r>
      <w:r>
        <w:t xml:space="preserve">ическая библиотека с zero-day хорошо демонстрирует обратную сторону удобства повторного использования кода. Пока всё работает штатно, библиотека уменьшает дублирование. Но при аварийном обновлении она превращается в точку массовой координации: необходимо с</w:t>
      </w:r>
      <w:r>
        <w:t xml:space="preserve">рочно выпускать несколько поддерживаемых веток и синхронно раскатывать их по множеству сервисов. Следовательно, shared library снижает связанность на уровне исходного кода, но может резко повысить связанность при эксплуатации и антикризисном сопровождении.</w:t>
      </w:r>
      <w:r/>
    </w:p>
    <w:p>
      <w:pPr>
        <w:pStyle w:val="865"/>
        <w:pBdr/>
        <w:spacing/>
        <w:ind/>
        <w:rPr/>
      </w:pPr>
      <w:r/>
      <w:bookmarkStart w:id="8" w:name="_Toc8"/>
      <w:r>
        <w:t xml:space="preserve">Cross-cutting concerns и platform layer</w:t>
      </w:r>
      <w:r/>
      <w:bookmarkEnd w:id="8"/>
      <w:r/>
      <w:r/>
    </w:p>
    <w:p>
      <w:pPr>
        <w:pStyle w:val="862"/>
        <w:pBdr/>
        <w:spacing/>
        <w:ind/>
        <w:rPr/>
      </w:pPr>
      <w:r>
        <w:t xml:space="preserve">Логирование, трассировка, аутентификация и circuit breaking не должны заставлять систему возвращаться к монолиту. Гораздо рацион</w:t>
      </w:r>
      <w:r>
        <w:t xml:space="preserve">альнее вынести такие обязанности в платформенный слой: gateway, sidecar, service mesh или централизованные middleware-компоненты. Тогда бизнес-сервисы остаются проще и чище, а инфраструктурные механизмы развиваются как самостоятельная capability платформы.</w:t>
      </w:r>
      <w:r/>
    </w:p>
    <w:p>
      <w:pPr>
        <w:pStyle w:val="865"/>
        <w:pBdr/>
        <w:spacing/>
        <w:ind/>
        <w:rPr/>
      </w:pPr>
      <w:r/>
      <w:bookmarkStart w:id="9" w:name="_Toc9"/>
      <w:r>
        <w:t xml:space="preserve">Audit как пример shared ownership данных</w:t>
      </w:r>
      <w:r/>
      <w:bookmarkEnd w:id="9"/>
      <w:r/>
      <w:r/>
    </w:p>
    <w:p>
      <w:pPr>
        <w:pStyle w:val="862"/>
        <w:pBdr/>
        <w:spacing/>
        <w:ind/>
        <w:rPr/>
      </w:pPr>
      <w:r>
        <w:t xml:space="preserve">Совместная запись нескольких сервисов в одну audit-таблицу удобна только на первом этапе. Дальше она создаёт зависимость по схеме базы данных, осложняет эволюц</w:t>
      </w:r>
      <w:r>
        <w:t xml:space="preserve">ию формата записи и делает владение данными размытым. Более зрелым вариантом является выделенный Audit service, принимающий события от других сервисов и единолично управляющий своим хранилищем. Такой подход лучше соответствует природе append-only сценария.</w:t>
      </w:r>
      <w:r/>
    </w:p>
    <w:p>
      <w:pPr>
        <w:pStyle w:val="865"/>
        <w:pBdr/>
        <w:spacing/>
        <w:ind/>
        <w:rPr/>
      </w:pPr>
      <w:r/>
      <w:bookmarkStart w:id="10" w:name="_Toc10"/>
      <w:r>
        <w:t xml:space="preserve">Catalog и Inventory как разные владельцы данных</w:t>
      </w:r>
      <w:r/>
      <w:bookmarkEnd w:id="10"/>
      <w:r/>
      <w:r/>
    </w:p>
    <w:p>
      <w:pPr>
        <w:pStyle w:val="862"/>
        <w:pBdr/>
        <w:spacing/>
        <w:ind/>
        <w:rPr/>
      </w:pPr>
      <w:r>
        <w:t xml:space="preserve">Описание товара и его остатки часто показываются рядом, но это не делает их единым объектом владения. Каталог описывает товар и меняется сравнительно редко, тогда как остатки являются оперативными данными и подвержены постоянным</w:t>
      </w:r>
      <w:r>
        <w:t xml:space="preserve"> изменениям. Поэтому разделение владения между Catalog и Inventory представляется более правильным, чем совместная таблица. Согласование между сервисами удобно строить через событие создания товара и последующую локальную материализацию данных в Inventory.</w:t>
      </w:r>
      <w:r/>
    </w:p>
    <w:p>
      <w:pPr>
        <w:pStyle w:val="865"/>
        <w:pBdr/>
        <w:spacing/>
        <w:ind/>
        <w:rPr/>
      </w:pPr>
      <w:r/>
      <w:bookmarkStart w:id="11" w:name="_Toc11"/>
      <w:r>
        <w:t xml:space="preserve">Локальная read-модель для Appointment</w:t>
      </w:r>
      <w:r/>
      <w:bookmarkEnd w:id="11"/>
      <w:r/>
      <w:r/>
    </w:p>
    <w:p>
      <w:pPr>
        <w:pStyle w:val="862"/>
        <w:pBdr/>
        <w:spacing/>
        <w:ind/>
        <w:rPr/>
      </w:pPr>
      <w:r>
        <w:t xml:space="preserve">Если Appointment всякий раз синхронно обращается к PatientManagement ради чтения статусов, интерфейс начинает зависеть от внешней сети и внешнего SLA</w:t>
      </w:r>
      <w:r>
        <w:t xml:space="preserve">. При этом владение статусами действительно может оставаться у PatientManagement. Компромиссным решением становится локальная read-модель или кэш, который уменьшает латентность и снижает связанность на чтении, не разрушая исходную доменную ответственность.</w:t>
      </w:r>
      <w:r/>
    </w:p>
    <w:p>
      <w:pPr>
        <w:pStyle w:val="865"/>
        <w:pBdr/>
        <w:spacing/>
        <w:ind/>
        <w:rPr/>
      </w:pPr>
      <w:r/>
      <w:bookmarkStart w:id="12" w:name="_Toc12"/>
      <w:r>
        <w:t xml:space="preserve">Выделение владельца тарификации</w:t>
      </w:r>
      <w:r/>
      <w:bookmarkEnd w:id="12"/>
      <w:r/>
      <w:r/>
    </w:p>
    <w:p>
      <w:pPr>
        <w:pStyle w:val="862"/>
        <w:pBdr/>
        <w:spacing/>
        <w:ind/>
        <w:rPr/>
      </w:pPr>
      <w:r>
        <w:t xml:space="preserve">Когда BillingProcessor и SubscriptionManager совместно владеют тарифной логикой, архитектурная проблема проявляется не только технически, но и организационно: для изменений требуются синхрон</w:t>
      </w:r>
      <w:r>
        <w:t xml:space="preserve">ные действия двух команд. Выделение отдельного владельца тарификации делает границы ответственности явными. Да, при этом появляется дополнительный сервис и новые сетевые вызовы, но система становится проще для сопровождения и дешевле в координации релизов.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4"/>
        <w:pBdr/>
        <w:spacing/>
        <w:ind/>
        <w:rPr/>
      </w:pPr>
      <w:r/>
      <w:bookmarkStart w:id="13" w:name="_Toc13"/>
      <w:r>
        <w:t xml:space="preserve">ЗАКЛЮЧЕНИЕ</w:t>
      </w:r>
      <w:r/>
      <w:bookmarkEnd w:id="13"/>
      <w:r/>
      <w:r/>
    </w:p>
    <w:p>
      <w:pPr>
        <w:pStyle w:val="862"/>
        <w:pBdr/>
        <w:spacing/>
        <w:ind/>
        <w:rPr/>
      </w:pPr>
      <w:r>
        <w:t xml:space="preserve">Анализ десяти кейсов показал, что главные архитектурные проблемы чаще всего возникают там, где размыто владение данными, недооценена эксплуатационная связанность или смешаны бизнес- и платформенные обязанности. Наиболее устойчивые решени</w:t>
      </w:r>
      <w:r>
        <w:t xml:space="preserve">я во всех рассмотренных примерах строятся вокруг явного владельца данных, событийной интеграции и осознанного отношения к eventual consistency. Поставленная цель достигнута: для каждого кейса сформулировано решение и объяснены его практические компромиссы.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 w:after="0" w:before="0" w:line="240" w:lineRule="auto"/>
      <w:ind w:right="0" w:firstLine="0" w:left="0"/>
      <w:jc w:val="center"/>
      <w:rPr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  <w:u w:val="none"/>
      </w:rPr>
      <w:fldChar w:fldCharType="begin"/>
      <w:instrText xml:space="preserve"> PAGE </w:instrText>
      <w:fldChar w:fldCharType="separate"/>
      <w:t xml:space="preserve">1</w: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 w:customStyle="1">
    <w:name w:val="GOST Body Text"/>
    <w:basedOn w:val="698"/>
    <w:uiPriority w:val="1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63" w:customStyle="1">
    <w:name w:val="GOST Service"/>
    <w:basedOn w:val="698"/>
    <w:uiPriority w:val="90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64" w:customStyle="1">
    <w:name w:val="GOST Heading 1"/>
    <w:basedOn w:val="698"/>
    <w:uiPriority w:val="2"/>
    <w:unhideWhenUsed/>
    <w:qFormat/>
    <w:pPr>
      <w:keepNext w:val="true"/>
      <w:pBdr/>
      <w:spacing w:after="360" w:before="0" w:line="360" w:lineRule="auto"/>
      <w:ind w:right="0" w:firstLine="0" w:left="0"/>
      <w:jc w:val="left"/>
      <w:outlineLvl w:val="0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5" w:customStyle="1">
    <w:name w:val="GOST Heading 2"/>
    <w:basedOn w:val="698"/>
    <w:uiPriority w:val="3"/>
    <w:unhideWhenUsed/>
    <w:qFormat/>
    <w:pPr>
      <w:keepNext w:val="true"/>
      <w:pBdr/>
      <w:spacing w:after="120" w:before="360" w:line="360" w:lineRule="auto"/>
      <w:ind w:right="0" w:firstLine="0" w:left="0"/>
      <w:jc w:val="left"/>
      <w:outlineLvl w:val="1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6" w:customStyle="1">
    <w:name w:val="GOST Heading 3"/>
    <w:basedOn w:val="698"/>
    <w:uiPriority w:val="4"/>
    <w:unhideWhenUsed/>
    <w:qFormat/>
    <w:pPr>
      <w:keepNext w:val="true"/>
      <w:pBdr/>
      <w:spacing w:after="120" w:before="240" w:line="360" w:lineRule="auto"/>
      <w:ind w:right="0" w:firstLine="0" w:left="0"/>
      <w:jc w:val="left"/>
      <w:outlineLvl w:val="2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7" w:customStyle="1">
    <w:name w:val="GOST TOC Title"/>
    <w:basedOn w:val="698"/>
    <w:uiPriority w:val="5"/>
    <w:unhideWhenUsed/>
    <w:qFormat/>
    <w:pPr>
      <w:pBdr/>
      <w:spacing w:after="24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8" w:customStyle="1">
    <w:name w:val="GOST Caption"/>
    <w:basedOn w:val="698"/>
    <w:uiPriority w:val="6"/>
    <w:unhideWhenUsed/>
    <w:qFormat/>
    <w:pPr>
      <w:pBdr/>
      <w:spacing w:after="120" w:before="120" w:line="240" w:lineRule="auto"/>
      <w:ind w:right="0" w:firstLine="0" w:lef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69" w:customStyle="1">
    <w:name w:val="GOST Figure Placeholder"/>
    <w:basedOn w:val="698"/>
    <w:uiPriority w:val="7"/>
    <w:unhideWhenUsed/>
    <w:qFormat/>
    <w:pPr>
      <w:pBdr/>
      <w:spacing w:after="0" w:before="0" w:line="240" w:lineRule="auto"/>
      <w:ind w:right="0" w:firstLine="0" w:left="0"/>
      <w:jc w:val="center"/>
    </w:pPr>
    <w:rPr>
      <w:rFonts w:ascii="Times New Roman" w:hAnsi="Times New Roman" w:eastAsia="Times New Roman" w:cs="Times New Roman"/>
      <w:b w:val="0"/>
      <w:i/>
      <w:color w:val="000000"/>
      <w:sz w:val="24"/>
      <w:u w:val="none"/>
    </w:rPr>
  </w:style>
  <w:style w:type="paragraph" w:styleId="870" w:customStyle="1">
    <w:name w:val="GOST List"/>
    <w:basedOn w:val="698"/>
    <w:uiPriority w:val="8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71" w:customStyle="1">
    <w:name w:val="GOST Table Caption"/>
    <w:basedOn w:val="698"/>
    <w:uiPriority w:val="9"/>
    <w:unhideWhenUsed/>
    <w:qFormat/>
    <w:pPr>
      <w:pBdr/>
      <w:spacing w:after="60" w:before="120" w:line="24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72" w:customStyle="1">
    <w:name w:val="GOST Table Cell"/>
    <w:basedOn w:val="698"/>
    <w:uiPriority w:val="10"/>
    <w:unhideWhenUsed/>
    <w:qFormat/>
    <w:pPr>
      <w:pBdr/>
      <w:spacing w:after="0" w:before="0" w:line="24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2026-04-10T12:25:55Z</dcterms:modified>
  <cp:category/>
</cp:coreProperties>
</file>