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Leasing &amp; Management Authority</w:t>
      </w:r>
    </w:p>
    <w:p>
      <w:r>
        <w:t>This agreement is between the Agent and the Owner(s) named below, in respect of the Property named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/ Agency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 ACN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 Address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Attention (Property Manager)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Mobile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Email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Owner(s)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 Address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 Phone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 Email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 Address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Exclusive Leasing Period (days)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Continuing Leasing Period (days)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Fixed Management Period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Rent (per week)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Bond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Urgent Repair Limit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Leasing Fee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Re-Leasing Fee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Managing Fee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Commission Sharing (Yes/No)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Rebate Entitlement (Yes/No)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Agreement Date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AGREEMENT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1. Our Commitment and Services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2. Our Fees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3. Leasing the Property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4. Marketing Expenses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5. Managing the Property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6. Property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7. Indemnity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8. Personal Information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9. Transfer and Delegation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10. Security</w:t>
      </w:r>
    </w:p>
    <w:p>
      <w:r>
        <w:t>[TBD — GEA legal wording pending. Do not use this Authority for a real signing until this clause is replaced with GEA-approved text.]</w:t>
      </w:r>
    </w:p>
    <w:p>
      <w:pPr>
        <w:pStyle w:val="Heading3"/>
      </w:pPr>
      <w:r>
        <w:t>11. Termination</w:t>
      </w:r>
    </w:p>
    <w:p>
      <w:r>
        <w:t>[TBD — GEA legal wording pending. Do not use this Authority for a real signing until this clause is replaced with GEA-approved text.]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