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Illustrative SME Case Study</w:t>
      </w:r>
    </w:p>
    <w:p>
      <w:pPr>
        <w:jc w:val="center"/>
      </w:pPr>
      <w:r>
        <w:rPr>
          <w:i/>
          <w:sz w:val="22"/>
        </w:rPr>
        <w:t>SME Finance Readiness &amp; Improvement Simulator</w:t>
      </w:r>
    </w:p>
    <w:p>
      <w:pPr>
        <w:pStyle w:val="Heading1"/>
      </w:pPr>
      <w:r>
        <w:t>Case: Urban Threads — Fictional Pakistani SME</w:t>
      </w:r>
    </w:p>
    <w:p>
      <w:r>
        <w:t>Urban Threads is a fictional small apparel retailer used solely to demonstrate the simulator. The figures are illustrative and should not be interpreted as real company data.</w:t>
      </w:r>
    </w:p>
    <w:p>
      <w:pPr>
        <w:pStyle w:val="Heading1"/>
      </w:pPr>
      <w:r>
        <w:t>Current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Indicator</w:t>
            </w:r>
          </w:p>
        </w:tc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Observation</w:t>
            </w:r>
          </w:p>
        </w:tc>
      </w:tr>
      <w:tr>
        <w:tc>
          <w:tcPr>
            <w:tcW w:type="dxa" w:w="3312"/>
          </w:tcPr>
          <w:p>
            <w:r>
              <w:t>Revenue</w:t>
            </w:r>
          </w:p>
        </w:tc>
        <w:tc>
          <w:tcPr>
            <w:tcW w:type="dxa" w:w="3312"/>
          </w:tcPr>
          <w:p>
            <w:r>
              <w:t>PKR 12.0m</w:t>
            </w:r>
          </w:p>
        </w:tc>
        <w:tc>
          <w:tcPr>
            <w:tcW w:type="dxa" w:w="3312"/>
          </w:tcPr>
          <w:p>
            <w:r>
              <w:t>Established operating scale</w:t>
            </w:r>
          </w:p>
        </w:tc>
      </w:tr>
      <w:tr>
        <w:tc>
          <w:tcPr>
            <w:tcW w:type="dxa" w:w="3312"/>
          </w:tcPr>
          <w:p>
            <w:r>
              <w:t>Operating expenses</w:t>
            </w:r>
          </w:p>
        </w:tc>
        <w:tc>
          <w:tcPr>
            <w:tcW w:type="dxa" w:w="3312"/>
          </w:tcPr>
          <w:p>
            <w:r>
              <w:t>PKR 9.0m</w:t>
            </w:r>
          </w:p>
        </w:tc>
        <w:tc>
          <w:tcPr>
            <w:tcW w:type="dxa" w:w="3312"/>
          </w:tcPr>
          <w:p>
            <w:r>
              <w:t>Positive operating surplus</w:t>
            </w:r>
          </w:p>
        </w:tc>
      </w:tr>
      <w:tr>
        <w:tc>
          <w:tcPr>
            <w:tcW w:type="dxa" w:w="3312"/>
          </w:tcPr>
          <w:p>
            <w:r>
              <w:t>Current ratio</w:t>
            </w:r>
          </w:p>
        </w:tc>
        <w:tc>
          <w:tcPr>
            <w:tcW w:type="dxa" w:w="3312"/>
          </w:tcPr>
          <w:p>
            <w:r>
              <w:t>1.50x</w:t>
            </w:r>
          </w:p>
        </w:tc>
        <w:tc>
          <w:tcPr>
            <w:tcW w:type="dxa" w:w="3312"/>
          </w:tcPr>
          <w:p>
            <w:r>
              <w:t>Positive liquidity position</w:t>
            </w:r>
          </w:p>
        </w:tc>
      </w:tr>
      <w:tr>
        <w:tc>
          <w:tcPr>
            <w:tcW w:type="dxa" w:w="3312"/>
          </w:tcPr>
          <w:p>
            <w:r>
              <w:t>Debt/assets</w:t>
            </w:r>
          </w:p>
        </w:tc>
        <w:tc>
          <w:tcPr>
            <w:tcW w:type="dxa" w:w="3312"/>
          </w:tcPr>
          <w:p>
            <w:r>
              <w:t>31.25%</w:t>
            </w:r>
          </w:p>
        </w:tc>
        <w:tc>
          <w:tcPr>
            <w:tcW w:type="dxa" w:w="3312"/>
          </w:tcPr>
          <w:p>
            <w:r>
              <w:t>Moderate leverage in this prototype</w:t>
            </w:r>
          </w:p>
        </w:tc>
      </w:tr>
      <w:tr>
        <w:tc>
          <w:tcPr>
            <w:tcW w:type="dxa" w:w="3312"/>
          </w:tcPr>
          <w:p>
            <w:r>
              <w:t>Monthly inflow/outflow</w:t>
            </w:r>
          </w:p>
        </w:tc>
        <w:tc>
          <w:tcPr>
            <w:tcW w:type="dxa" w:w="3312"/>
          </w:tcPr>
          <w:p>
            <w:r>
              <w:t>PKR 1.0m / 0.75m</w:t>
            </w:r>
          </w:p>
        </w:tc>
        <w:tc>
          <w:tcPr>
            <w:tcW w:type="dxa" w:w="3312"/>
          </w:tcPr>
          <w:p>
            <w:r>
              <w:t>Positive monthly cash generation</w:t>
            </w:r>
          </w:p>
        </w:tc>
      </w:tr>
      <w:tr>
        <w:tc>
          <w:tcPr>
            <w:tcW w:type="dxa" w:w="3312"/>
          </w:tcPr>
          <w:p>
            <w:r>
              <w:t>Cash reserve</w:t>
            </w:r>
          </w:p>
        </w:tc>
        <w:tc>
          <w:tcPr>
            <w:tcW w:type="dxa" w:w="3312"/>
          </w:tcPr>
          <w:p>
            <w:r>
              <w:t>2 months</w:t>
            </w:r>
          </w:p>
        </w:tc>
        <w:tc>
          <w:tcPr>
            <w:tcW w:type="dxa" w:w="3312"/>
          </w:tcPr>
          <w:p>
            <w:r>
              <w:t>Room to strengthen resilience</w:t>
            </w:r>
          </w:p>
        </w:tc>
      </w:tr>
      <w:tr>
        <w:tc>
          <w:tcPr>
            <w:tcW w:type="dxa" w:w="3312"/>
          </w:tcPr>
          <w:p>
            <w:r>
              <w:t>Records</w:t>
            </w:r>
          </w:p>
        </w:tc>
        <w:tc>
          <w:tcPr>
            <w:tcW w:type="dxa" w:w="3312"/>
          </w:tcPr>
          <w:p>
            <w:r>
              <w:t>6 of 7 practices</w:t>
            </w:r>
          </w:p>
        </w:tc>
        <w:tc>
          <w:tcPr>
            <w:tcW w:type="dxa" w:w="3312"/>
          </w:tcPr>
          <w:p>
            <w:r>
              <w:t>One practice remains incomplete</w:t>
            </w:r>
          </w:p>
        </w:tc>
      </w:tr>
      <w:tr>
        <w:tc>
          <w:tcPr>
            <w:tcW w:type="dxa" w:w="3312"/>
          </w:tcPr>
          <w:p>
            <w:r>
              <w:t>Planning</w:t>
            </w:r>
          </w:p>
        </w:tc>
        <w:tc>
          <w:tcPr>
            <w:tcW w:type="dxa" w:w="3312"/>
          </w:tcPr>
          <w:p>
            <w:r>
              <w:t>4 of 6 practices</w:t>
            </w:r>
          </w:p>
        </w:tc>
        <w:tc>
          <w:tcPr>
            <w:tcW w:type="dxa" w:w="3312"/>
          </w:tcPr>
          <w:p>
            <w:r>
              <w:t>Planning discipline can be strengthened</w:t>
            </w:r>
          </w:p>
        </w:tc>
      </w:tr>
    </w:tbl>
    <w:p>
      <w:pPr>
        <w:pStyle w:val="Heading1"/>
      </w:pPr>
      <w:r>
        <w:t>Diagnostic</w:t>
      </w:r>
    </w:p>
    <w:p>
      <w:r>
        <w:t>The simulator should be used to identify the weakest dimensions rather than treating the overall score as the only output. In this illustrative case, cash-reserve depth and incomplete planning/recordkeeping practices are natural improvement targets.</w:t>
      </w:r>
    </w:p>
    <w:p>
      <w:pPr>
        <w:pStyle w:val="Heading1"/>
      </w:pPr>
      <w:r>
        <w:t>Improvement Scenario</w:t>
      </w:r>
    </w:p>
    <w:p>
      <w:pPr>
        <w:pStyle w:val="ListBullet"/>
      </w:pPr>
      <w:r>
        <w:t>Increase cash reserve from 2 to 3 months.</w:t>
      </w:r>
    </w:p>
    <w:p>
      <w:pPr>
        <w:pStyle w:val="ListBullet"/>
      </w:pPr>
      <w:r>
        <w:t>Reduce avoidable monthly outflows through expense monitoring.</w:t>
      </w:r>
    </w:p>
    <w:p>
      <w:pPr>
        <w:pStyle w:val="ListBullet"/>
      </w:pPr>
      <w:r>
        <w:t>Complete the remaining recordkeeping practice.</w:t>
      </w:r>
    </w:p>
    <w:p>
      <w:pPr>
        <w:pStyle w:val="ListBullet"/>
      </w:pPr>
      <w:r>
        <w:t>Introduce a formal annual budget and review actual results against budget.</w:t>
      </w:r>
    </w:p>
    <w:p>
      <w:pPr>
        <w:pStyle w:val="ListBullet"/>
      </w:pPr>
      <w:r>
        <w:t>Maintain monthly cash-flow monitoring.</w:t>
      </w:r>
    </w:p>
    <w:p>
      <w:pPr>
        <w:pStyle w:val="Heading1"/>
      </w:pPr>
      <w:r>
        <w:t>Interpretation</w:t>
      </w:r>
    </w:p>
    <w:p>
      <w:r>
        <w:t>The scenario demonstrates the intended use of the tool: identify specific management changes, test their directional effect on the readiness profile, and use the result to prioritize action. It does not establish that a lender would approve financing.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