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i/>
          <w:sz w:val="22"/>
        </w:rPr>
        <w:t>SME Finance Readiness &amp; Improvement Simulator</w:t>
      </w:r>
    </w:p>
    <w:p>
      <w:pPr>
        <w:pStyle w:val="Heading1"/>
      </w:pPr>
      <w:r>
        <w:t>1. Executive Summary</w:t>
      </w:r>
    </w:p>
    <w:p>
      <w:r>
        <w:t>The SME Finance Readiness &amp; Improvement Simulator is an evidence-informed prototype designed to help small and medium-sized enterprises assess internal financial readiness for external finance. It combines financial-ratio analysis, cash-flow management, financial-record practices, debt-service capacity, financial planning, diagnostic recommendations, and scenario-based improvement analysis.</w:t>
      </w:r>
    </w:p>
    <w:p>
      <w:r>
        <w:t>The tool is intentionally positioned as a decision-support prototype rather than a lender credit score. Its thresholds and weights are transparent prototype normalization choices that require empirical validation before any real lending, investment, or regulatory use.</w:t>
      </w:r>
    </w:p>
    <w:p>
      <w:pPr>
        <w:pStyle w:val="Heading1"/>
      </w:pPr>
      <w:r>
        <w:t>2. Problem Statement</w:t>
      </w:r>
    </w:p>
    <w:p>
      <w:r>
        <w:t>SMEs can face financing constraints not only because of financing-market conditions, but also because financial information, repayment capacity, cash-flow discipline, and planning practices may be difficult for external financiers to evaluate. The World Bank identifies information asymmetry as a significant barrier to SME financing and notes the importance of information about financial capacity and repayment ability in credit assessment.</w:t>
      </w:r>
    </w:p>
    <w:p>
      <w:r>
        <w:t>The simulator addresses this gap at a practical level by converting a limited set of business and management-practice inputs into an interpretable readiness profile and improvement plan.</w:t>
      </w:r>
    </w:p>
    <w:p>
      <w:pPr>
        <w:pStyle w:val="Heading1"/>
      </w:pPr>
      <w:r>
        <w:t>3. Evidence Base</w:t>
      </w:r>
    </w:p>
    <w:p>
      <w:r>
        <w:t>The OECD's 2026 SME-finance framework uses indicators selected for usefulness, availability, feasibility and timeliness and monitors dimensions including financing structure, credit conditions, financial health and cash-flow-related distress. The simulator adopts the same general principle of using interpretable, feasible indicators rather than attempting to reproduce a bank's proprietary credit model.</w:t>
      </w:r>
    </w:p>
    <w:p>
      <w:r>
        <w:t>The World Bank's work on SME credit reporting further supports the importance of information asymmetry, financial capacity and repayment information in facilitating fact-based credit assessment.</w:t>
      </w:r>
    </w:p>
    <w:p>
      <w:pPr>
        <w:pStyle w:val="Heading1"/>
      </w:pPr>
      <w:r>
        <w:t>4. Model Architecture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Dimension</w:t>
            </w:r>
          </w:p>
        </w:tc>
        <w:tc>
          <w:tcPr>
            <w:tcW w:type="dxa" w:w="2484"/>
          </w:tcPr>
          <w:p>
            <w:r>
              <w:t>Weight</w:t>
            </w:r>
          </w:p>
        </w:tc>
        <w:tc>
          <w:tcPr>
            <w:tcW w:type="dxa" w:w="2484"/>
          </w:tcPr>
          <w:p>
            <w:r>
              <w:t>Main indicators</w:t>
            </w:r>
          </w:p>
        </w:tc>
        <w:tc>
          <w:tcPr>
            <w:tcW w:type="dxa" w:w="2484"/>
          </w:tcPr>
          <w:p>
            <w:r>
              <w:t>Purpose</w:t>
            </w:r>
          </w:p>
        </w:tc>
      </w:tr>
      <w:tr>
        <w:tc>
          <w:tcPr>
            <w:tcW w:type="dxa" w:w="2484"/>
          </w:tcPr>
          <w:p>
            <w:r>
              <w:t>Financial Health</w:t>
            </w:r>
          </w:p>
        </w:tc>
        <w:tc>
          <w:tcPr>
            <w:tcW w:type="dxa" w:w="2484"/>
          </w:tcPr>
          <w:p>
            <w:r>
              <w:t>25</w:t>
            </w:r>
          </w:p>
        </w:tc>
        <w:tc>
          <w:tcPr>
            <w:tcW w:type="dxa" w:w="2484"/>
          </w:tcPr>
          <w:p>
            <w:r>
              <w:t>Current ratio; operating margin; debt/assets</w:t>
            </w:r>
          </w:p>
        </w:tc>
        <w:tc>
          <w:tcPr>
            <w:tcW w:type="dxa" w:w="2484"/>
          </w:tcPr>
          <w:p>
            <w:r>
              <w:t>Assess liquidity, profitability and leverage</w:t>
            </w:r>
          </w:p>
        </w:tc>
      </w:tr>
      <w:tr>
        <w:tc>
          <w:tcPr>
            <w:tcW w:type="dxa" w:w="2484"/>
          </w:tcPr>
          <w:p>
            <w:r>
              <w:t>Cash-Flow Management</w:t>
            </w:r>
          </w:p>
        </w:tc>
        <w:tc>
          <w:tcPr>
            <w:tcW w:type="dxa" w:w="2484"/>
          </w:tcPr>
          <w:p>
            <w:r>
              <w:t>20</w:t>
            </w:r>
          </w:p>
        </w:tc>
        <w:tc>
          <w:tcPr>
            <w:tcW w:type="dxa" w:w="2484"/>
          </w:tcPr>
          <w:p>
            <w:r>
              <w:t>Cash-flow coverage; reserve; monitoring frequency</w:t>
            </w:r>
          </w:p>
        </w:tc>
        <w:tc>
          <w:tcPr>
            <w:tcW w:type="dxa" w:w="2484"/>
          </w:tcPr>
          <w:p>
            <w:r>
              <w:t>Assess short-term resilience and cash discipline</w:t>
            </w:r>
          </w:p>
        </w:tc>
      </w:tr>
      <w:tr>
        <w:tc>
          <w:tcPr>
            <w:tcW w:type="dxa" w:w="2484"/>
          </w:tcPr>
          <w:p>
            <w:r>
              <w:t>Financial Records &amp; Transparency</w:t>
            </w:r>
          </w:p>
        </w:tc>
        <w:tc>
          <w:tcPr>
            <w:tcW w:type="dxa" w:w="2484"/>
          </w:tcPr>
          <w:p>
            <w:r>
              <w:t>20</w:t>
            </w:r>
          </w:p>
        </w:tc>
        <w:tc>
          <w:tcPr>
            <w:tcW w:type="dxa" w:w="2484"/>
          </w:tcPr>
          <w:p>
            <w:r>
              <w:t>7 recordkeeping practices</w:t>
            </w:r>
          </w:p>
        </w:tc>
        <w:tc>
          <w:tcPr>
            <w:tcW w:type="dxa" w:w="2484"/>
          </w:tcPr>
          <w:p>
            <w:r>
              <w:t>Assess quality and consistency of financial information</w:t>
            </w:r>
          </w:p>
        </w:tc>
      </w:tr>
      <w:tr>
        <w:tc>
          <w:tcPr>
            <w:tcW w:type="dxa" w:w="2484"/>
          </w:tcPr>
          <w:p>
            <w:r>
              <w:t>Debt &amp; Repayment Capacity</w:t>
            </w:r>
          </w:p>
        </w:tc>
        <w:tc>
          <w:tcPr>
            <w:tcW w:type="dxa" w:w="2484"/>
          </w:tcPr>
          <w:p>
            <w:r>
              <w:t>20</w:t>
            </w:r>
          </w:p>
        </w:tc>
        <w:tc>
          <w:tcPr>
            <w:tcW w:type="dxa" w:w="2484"/>
          </w:tcPr>
          <w:p>
            <w:r>
              <w:t>Cash-flow debt-service coverage proxy</w:t>
            </w:r>
          </w:p>
        </w:tc>
        <w:tc>
          <w:tcPr>
            <w:tcW w:type="dxa" w:w="2484"/>
          </w:tcPr>
          <w:p>
            <w:r>
              <w:t>Assess indicative ability to service monthly debt</w:t>
            </w:r>
          </w:p>
        </w:tc>
      </w:tr>
      <w:tr>
        <w:tc>
          <w:tcPr>
            <w:tcW w:type="dxa" w:w="2484"/>
          </w:tcPr>
          <w:p>
            <w:r>
              <w:t>Financial Planning</w:t>
            </w:r>
          </w:p>
        </w:tc>
        <w:tc>
          <w:tcPr>
            <w:tcW w:type="dxa" w:w="2484"/>
          </w:tcPr>
          <w:p>
            <w:r>
              <w:t>15</w:t>
            </w:r>
          </w:p>
        </w:tc>
        <w:tc>
          <w:tcPr>
            <w:tcW w:type="dxa" w:w="2484"/>
          </w:tcPr>
          <w:p>
            <w:r>
              <w:t>6 planning practices</w:t>
            </w:r>
          </w:p>
        </w:tc>
        <w:tc>
          <w:tcPr>
            <w:tcW w:type="dxa" w:w="2484"/>
          </w:tcPr>
          <w:p>
            <w:r>
              <w:t>Assess budgeting, forecasting and contingency planning</w:t>
            </w:r>
          </w:p>
        </w:tc>
      </w:tr>
    </w:tbl>
    <w:p>
      <w:pPr>
        <w:pStyle w:val="Heading1"/>
      </w:pPr>
      <w:r>
        <w:t>5. Scoring Method</w:t>
      </w:r>
    </w:p>
    <w:p>
      <w:r>
        <w:t>The prototype converts heterogeneous indicators into a 100-point readiness score. Financial-ratio components use transparent capped normalization functions; management-practice components use the proportion of practices completed. The total score is classified as Ready (75–100), Developing (50–74.99), or Needs Improvement (0–49.99). These categories are internal prototype labels, not industry or regulatory standards.</w:t>
      </w:r>
    </w:p>
    <w:p>
      <w:r>
        <w:t>The current model uses a cash-flow debt-service coverage proxy defined as monthly cash inflow minus monthly cash outflow, divided by monthly debt payment. It is deliberately labeled a proxy because a formal DSCR definition can vary by lender and may use cash available for debt service, EBITDA, taxes, capital expenditures, or other adjustments.</w:t>
      </w:r>
    </w:p>
    <w:p>
      <w:pPr>
        <w:pStyle w:val="Heading1"/>
      </w:pPr>
      <w:r>
        <w:t>6. Diagnostic and Recommendation Engine</w:t>
      </w:r>
    </w:p>
    <w:p>
      <w:r>
        <w:t>The recommendation layer translates weak indicators into practical actions. Examples include improving liquidity management, building cash reserves, strengthening bookkeeping, separating business and personal finances, introducing budgeting and forecasting, and monitoring debt-service capacity.</w:t>
      </w:r>
    </w:p>
    <w:p>
      <w:pPr>
        <w:pStyle w:val="Heading1"/>
      </w:pPr>
      <w:r>
        <w:t>7. What-If Improvement Simulator</w:t>
      </w:r>
    </w:p>
    <w:p>
      <w:r>
        <w:t>Users can enter hypothetical changes to selected financial variables and management practices. The tool recalculates an indicative scenario score and compares it with the current profile. This is intended for planning and learning—not for predicting approval by a specific lender.</w:t>
      </w:r>
    </w:p>
    <w:p>
      <w:pPr>
        <w:pStyle w:val="Heading1"/>
      </w:pPr>
      <w:r>
        <w:t>8. Pakistani SME Demonstration Case</w:t>
      </w:r>
    </w:p>
    <w:p>
      <w:r>
        <w:t>A fictional Pakistani SME case is used to demonstrate the workflow. The case is deliberately synthetic and is not presented as a real company's financial information.</w:t>
      </w:r>
    </w:p>
    <w:tbl>
      <w:tblPr>
        <w:tblStyle w:val="TableGrid"/>
        <w:tblW w:type="auto" w:w="0"/>
        <w:tblLook w:firstColumn="1" w:firstRow="1" w:lastColumn="0" w:lastRow="0" w:noHBand="0" w:noVBand="1" w:val="04A0"/>
      </w:tblPr>
      <w:tblGrid>
        <w:gridCol w:w="3312"/>
        <w:gridCol w:w="3312"/>
        <w:gridCol w:w="3312"/>
      </w:tblGrid>
      <w:tr>
        <w:tc>
          <w:tcPr>
            <w:tcW w:type="dxa" w:w="3312"/>
          </w:tcPr>
          <w:p>
            <w:r>
              <w:t>Input</w:t>
            </w:r>
          </w:p>
        </w:tc>
        <w:tc>
          <w:tcPr>
            <w:tcW w:type="dxa" w:w="3312"/>
          </w:tcPr>
          <w:p>
            <w:r>
              <w:t>Illustrative value</w:t>
            </w:r>
          </w:p>
        </w:tc>
        <w:tc>
          <w:tcPr>
            <w:tcW w:type="dxa" w:w="3312"/>
          </w:tcPr>
          <w:p>
            <w:r>
              <w:t>Purpose</w:t>
            </w:r>
          </w:p>
        </w:tc>
      </w:tr>
      <w:tr>
        <w:tc>
          <w:tcPr>
            <w:tcW w:type="dxa" w:w="3312"/>
          </w:tcPr>
          <w:p>
            <w:r>
              <w:t>Annual revenue</w:t>
            </w:r>
          </w:p>
        </w:tc>
        <w:tc>
          <w:tcPr>
            <w:tcW w:type="dxa" w:w="3312"/>
          </w:tcPr>
          <w:p>
            <w:r>
              <w:t>PKR 12,000,000</w:t>
            </w:r>
          </w:p>
        </w:tc>
        <w:tc>
          <w:tcPr>
            <w:tcW w:type="dxa" w:w="3312"/>
          </w:tcPr>
          <w:p>
            <w:r>
              <w:t>Scale of operations</w:t>
            </w:r>
          </w:p>
        </w:tc>
      </w:tr>
      <w:tr>
        <w:tc>
          <w:tcPr>
            <w:tcW w:type="dxa" w:w="3312"/>
          </w:tcPr>
          <w:p>
            <w:r>
              <w:t>Annual operating expenses</w:t>
            </w:r>
          </w:p>
        </w:tc>
        <w:tc>
          <w:tcPr>
            <w:tcW w:type="dxa" w:w="3312"/>
          </w:tcPr>
          <w:p>
            <w:r>
              <w:t>PKR 9,000,000</w:t>
            </w:r>
          </w:p>
        </w:tc>
        <w:tc>
          <w:tcPr>
            <w:tcW w:type="dxa" w:w="3312"/>
          </w:tcPr>
          <w:p>
            <w:r>
              <w:t>Profitability</w:t>
            </w:r>
          </w:p>
        </w:tc>
      </w:tr>
      <w:tr>
        <w:tc>
          <w:tcPr>
            <w:tcW w:type="dxa" w:w="3312"/>
          </w:tcPr>
          <w:p>
            <w:r>
              <w:t>Total assets</w:t>
            </w:r>
          </w:p>
        </w:tc>
        <w:tc>
          <w:tcPr>
            <w:tcW w:type="dxa" w:w="3312"/>
          </w:tcPr>
          <w:p>
            <w:r>
              <w:t>PKR 8,000,000</w:t>
            </w:r>
          </w:p>
        </w:tc>
        <w:tc>
          <w:tcPr>
            <w:tcW w:type="dxa" w:w="3312"/>
          </w:tcPr>
          <w:p>
            <w:r>
              <w:t>Asset base</w:t>
            </w:r>
          </w:p>
        </w:tc>
      </w:tr>
      <w:tr>
        <w:tc>
          <w:tcPr>
            <w:tcW w:type="dxa" w:w="3312"/>
          </w:tcPr>
          <w:p>
            <w:r>
              <w:t>Current assets / liabilities</w:t>
            </w:r>
          </w:p>
        </w:tc>
        <w:tc>
          <w:tcPr>
            <w:tcW w:type="dxa" w:w="3312"/>
          </w:tcPr>
          <w:p>
            <w:r>
              <w:t>PKR 3,000,000 / 2,000,000</w:t>
            </w:r>
          </w:p>
        </w:tc>
        <w:tc>
          <w:tcPr>
            <w:tcW w:type="dxa" w:w="3312"/>
          </w:tcPr>
          <w:p>
            <w:r>
              <w:t>Liquidity</w:t>
            </w:r>
          </w:p>
        </w:tc>
      </w:tr>
      <w:tr>
        <w:tc>
          <w:tcPr>
            <w:tcW w:type="dxa" w:w="3312"/>
          </w:tcPr>
          <w:p>
            <w:r>
              <w:t>Total debt</w:t>
            </w:r>
          </w:p>
        </w:tc>
        <w:tc>
          <w:tcPr>
            <w:tcW w:type="dxa" w:w="3312"/>
          </w:tcPr>
          <w:p>
            <w:r>
              <w:t>PKR 2,500,000</w:t>
            </w:r>
          </w:p>
        </w:tc>
        <w:tc>
          <w:tcPr>
            <w:tcW w:type="dxa" w:w="3312"/>
          </w:tcPr>
          <w:p>
            <w:r>
              <w:t>Leverage</w:t>
            </w:r>
          </w:p>
        </w:tc>
      </w:tr>
      <w:tr>
        <w:tc>
          <w:tcPr>
            <w:tcW w:type="dxa" w:w="3312"/>
          </w:tcPr>
          <w:p>
            <w:r>
              <w:t>Monthly inflow / outflow</w:t>
            </w:r>
          </w:p>
        </w:tc>
        <w:tc>
          <w:tcPr>
            <w:tcW w:type="dxa" w:w="3312"/>
          </w:tcPr>
          <w:p>
            <w:r>
              <w:t>PKR 1,000,000 / 750,000</w:t>
            </w:r>
          </w:p>
        </w:tc>
        <w:tc>
          <w:tcPr>
            <w:tcW w:type="dxa" w:w="3312"/>
          </w:tcPr>
          <w:p>
            <w:r>
              <w:t>Cash-flow position</w:t>
            </w:r>
          </w:p>
        </w:tc>
      </w:tr>
      <w:tr>
        <w:tc>
          <w:tcPr>
            <w:tcW w:type="dxa" w:w="3312"/>
          </w:tcPr>
          <w:p>
            <w:r>
              <w:t>Cash reserve</w:t>
            </w:r>
          </w:p>
        </w:tc>
        <w:tc>
          <w:tcPr>
            <w:tcW w:type="dxa" w:w="3312"/>
          </w:tcPr>
          <w:p>
            <w:r>
              <w:t>2 months</w:t>
            </w:r>
          </w:p>
        </w:tc>
        <w:tc>
          <w:tcPr>
            <w:tcW w:type="dxa" w:w="3312"/>
          </w:tcPr>
          <w:p>
            <w:r>
              <w:t>Short-term resilience</w:t>
            </w:r>
          </w:p>
        </w:tc>
      </w:tr>
    </w:tbl>
    <w:p>
      <w:pPr>
        <w:pStyle w:val="Heading1"/>
      </w:pPr>
      <w:r>
        <w:t>9. Limitations</w:t>
      </w:r>
    </w:p>
    <w:p>
      <w:pPr>
        <w:pStyle w:val="ListBullet"/>
      </w:pPr>
      <w:r>
        <w:t>Prototype weights and thresholds have not been statistically validated on a representative SME dataset.</w:t>
      </w:r>
    </w:p>
    <w:p>
      <w:pPr>
        <w:pStyle w:val="ListBullet"/>
      </w:pPr>
      <w:r>
        <w:t>Self-reported management-practice inputs may contain reporting bias.</w:t>
      </w:r>
    </w:p>
    <w:p>
      <w:pPr>
        <w:pStyle w:val="ListBullet"/>
      </w:pPr>
      <w:r>
        <w:t>The tool does not include collateral, credit history, sector risk, macroeconomic conditions, lender policy, or application-specific underwriting criteria.</w:t>
      </w:r>
    </w:p>
    <w:p>
      <w:pPr>
        <w:pStyle w:val="ListBullet"/>
      </w:pPr>
      <w:r>
        <w:t>Financial ratios can be interpreted differently across sectors and business models.</w:t>
      </w:r>
    </w:p>
    <w:p>
      <w:pPr>
        <w:pStyle w:val="ListBullet"/>
      </w:pPr>
      <w:r>
        <w:t>The scenario engine is deterministic and does not provide probability estimates.</w:t>
      </w:r>
    </w:p>
    <w:p>
      <w:pPr>
        <w:pStyle w:val="Heading1"/>
      </w:pPr>
      <w:r>
        <w:t>10. Validation Roadmap</w:t>
      </w:r>
    </w:p>
    <w:p>
      <w:pPr>
        <w:pStyle w:val="ListBullet"/>
      </w:pPr>
      <w:r>
        <w:t>Collect a sufficiently large SME dataset containing financial and management-practice variables.</w:t>
      </w:r>
    </w:p>
    <w:p>
      <w:pPr>
        <w:pStyle w:val="ListBullet"/>
      </w:pPr>
      <w:r>
        <w:t>Test internal consistency of practice scales where appropriate.</w:t>
      </w:r>
    </w:p>
    <w:p>
      <w:pPr>
        <w:pStyle w:val="ListBullet"/>
      </w:pPr>
      <w:r>
        <w:t>Use exploratory factor analysis or confirmatory methods to examine whether the proposed dimensions are empirically distinct.</w:t>
      </w:r>
    </w:p>
    <w:p>
      <w:pPr>
        <w:pStyle w:val="ListBullet"/>
      </w:pPr>
      <w:r>
        <w:t>Test alternative weights and thresholds using sensitivity analysis.</w:t>
      </w:r>
    </w:p>
    <w:p>
      <w:pPr>
        <w:pStyle w:val="ListBullet"/>
      </w:pPr>
      <w:r>
        <w:t>Assess criterion validity against financing outcomes such as successful applications, rejection, financing amount, or financing conditions where reliable data are available.</w:t>
      </w:r>
    </w:p>
    <w:p>
      <w:pPr>
        <w:pStyle w:val="ListBullet"/>
      </w:pPr>
      <w:r>
        <w:t>Calibrate sector-specific thresholds if sufficient observations exist.</w:t>
      </w:r>
    </w:p>
    <w:p>
      <w:pPr>
        <w:pStyle w:val="Heading1"/>
      </w:pPr>
      <w:r>
        <w:t>11. Conclusion</w:t>
      </w:r>
    </w:p>
    <w:p>
      <w:r>
        <w:t>The project demonstrates how financial analysis can be converted into an interpretable SME decision-support workflow. Its value for academic and portfolio purposes lies in the transparent methodology, evidence-informed design, diagnostic recommendations and scenario analysis, while its limitations are explicitly acknowledged.</w:t>
      </w:r>
    </w:p>
    <w:p>
      <w:pPr>
        <w:pStyle w:val="Heading1"/>
      </w:pPr>
      <w:r>
        <w:t>Selected References</w:t>
      </w:r>
    </w:p>
    <w:p>
      <w:r>
        <w:t>OECD (2026). Financing SMEs and Entrepreneurs 2026: An OECD Scoreboard. OECD Publishing.</w:t>
      </w:r>
    </w:p>
    <w:p>
      <w:r>
        <w:t>World Bank. Facilitating SME Financing through Improved Credit Reporting.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