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hitePaperKicker"/>
        <w:jc w:val="center"/>
      </w:pPr>
      <w:r>
        <w:t>TECHNOLOGY WHITE PAPER</w:t>
      </w:r>
    </w:p>
    <w:p>
      <w:pPr>
        <w:spacing w:after="360"/>
      </w:pPr>
    </w:p>
    <w:p>
      <w:pPr>
        <w:spacing w:after="360"/>
      </w:pPr>
    </w:p>
    <w:p>
      <w:pPr>
        <w:spacing w:after="360"/>
      </w:pPr>
    </w:p>
    <w:p>
      <w:pPr>
        <w:pStyle w:val="Title"/>
        <w:jc w:val="center"/>
      </w:pPr>
      <w:r>
        <w:t>The LLM Script Compiler</w:t>
      </w:r>
    </w:p>
    <w:p>
      <w:pPr>
        <w:pStyle w:val="Subtitle"/>
        <w:jc w:val="center"/>
      </w:pPr>
      <w:r>
        <w:t>Compiling Software Architecture into Portable, Validated, Model-Neutral LLM Specifications</w:t>
      </w:r>
    </w:p>
    <w:p>
      <w:pPr>
        <w:spacing w:after="360"/>
      </w:pPr>
    </w:p>
    <w:p>
      <w:pPr>
        <w:jc w:val="center"/>
      </w:pPr>
      <w:r>
        <w:t>Working Draft v0.7</w:t>
      </w:r>
    </w:p>
    <w:p>
      <w:pPr>
        <w:jc w:val="center"/>
      </w:pPr>
      <w:r>
        <w:rPr>
          <w:color w:val="66727D"/>
        </w:rPr>
        <w:t>September 2026</w:t>
      </w:r>
    </w:p>
    <w:p>
      <w:pPr>
        <w:spacing w:after="960"/>
      </w:pPr>
    </w:p>
    <w:p>
      <w:pPr>
        <w:jc w:val="center"/>
      </w:pPr>
      <w:r>
        <w:rPr>
          <w:b/>
          <w:sz w:val="22"/>
        </w:rPr>
        <w:t>Author: Robert Tu</w:t>
      </w:r>
    </w:p>
    <w:p>
      <w:pPr>
        <w:jc w:val="center"/>
      </w:pPr>
      <w:r>
        <w:rPr>
          <w:color w:val="66727D"/>
        </w:rPr>
        <w:t>Software Architecture Research</w:t>
      </w:r>
    </w:p>
    <w:p>
      <w:pPr>
        <w:jc w:val="center"/>
      </w:pPr>
      <w:r>
        <w:rPr>
          <w:i/>
          <w:color w:val="66727D"/>
          <w:sz w:val="18"/>
        </w:rPr>
        <w:t>Public technical edition</w:t>
      </w:r>
    </w:p>
    <w:p>
      <w:r/>
    </w:p>
    <w:p>
      <w:pPr>
        <w:pStyle w:val="Heading1"/>
      </w:pPr>
      <w:r>
        <w:t>Document Status and Scope</w:t>
      </w:r>
    </w:p>
    <w:p>
      <w:r>
        <w:t>This is a living working paper. It records the current architecture, implementation hypothesis, and experimental plan for a model-neutral LLM Script Compiler. Findings will be revised as additional compiled specifications are evaluated across independent LLM families.</w:t>
      </w:r>
    </w:p>
    <w:p>
      <w:r>
        <w:t>The paper does not claim that abstract syntax trees, symbol tables, linkers, dictionary compression, or large language models are individually new. Its proposed contribution is their integration with composable, self-describing software capability hierarchies to compile application intent into a compact, validated, model-neutral semantic program for reliable software generation.</w:t>
      </w:r>
    </w:p>
    <w:p>
      <w:pPr>
        <w:pStyle w:val="Heading1"/>
      </w:pPr>
      <w:r>
        <w:t>Abstract</w:t>
      </w:r>
    </w:p>
    <w:p>
      <w:r>
        <w:t>Large language models can generate substantial software, but their reliability is constrained by the quality and structure of the specification they receive. Conventional prompts often require the model to infer architecture, reconcile duplicated rules, discover dependencies, design workflows, resolve contradictory state references, and generate code in a single probabilistic operation. This paper proposes an LLM Script Compiler: a deterministic compilation layer that transforms a dependency-resolved structured software architecture model into a typed, linked, validated, compressed, and portable application specification before an LLM generates implementation code.</w:t>
      </w:r>
    </w:p>
    <w:p>
      <w:r>
        <w:t>The source model consists of an application root specification, self-describing capability modules, typed dependency relationships, state contracts, workflows, topology, presentation semantics, governance rules, and acceptance boundaries. The compiler parses these inputs into an application abstract syntax tree, resolves symbols and transitive dependencies, rejects stale or dangling references, removes unreachable artifacts, deduplicates repeated meaning, links reusable definitions from a versioned Master Context Dictionary, and emits either a compact linked Token Manifest or a self-contained portable script. Preliminary prototype experiments show that a hierarchy-based script enabled an external LLM to reconstruct application intent, including menu topology and business behavior, more faithfully than an earlier flat script. The same structured representation also enabled an external LLM to identify inconsistencies that were previously obscured. These results motivate controlled multi-model testing and suggest a practical new collaboration layer for software architects, developers, and LLMs. The revised architecture also treats durable context, enterprise-blueprint resolution, and field-engineering feedback as compiler inputs rather than relying on a lengthy conversation to preserve them.</w:t>
      </w:r>
    </w:p>
    <w:p>
      <w:pPr>
        <w:pStyle w:val="Heading1"/>
      </w:pPr>
      <w:r>
        <w:t>Executive Thesis</w:t>
      </w:r>
    </w:p>
    <w:p>
      <w:pPr>
        <w:pStyle w:val="LeadCallout"/>
      </w:pPr>
      <w:r>
        <w:t>Software generation becomes more reliable when application intent is compiled before it is presented to a large language model.</w:t>
      </w:r>
    </w:p>
    <w:p>
      <w:r>
        <w:t>An LLM Script Compiler transforms composable, self-describing software capabilities into a compact, validated, dependency-linked, model-neutral specification. Software architects retain control of system meaning and constraints; developers receive traceable, reproducible implementation instructions; and LLMs focus on target-code realization instead of simultaneously inventing and interpreting the architecture. For field deployments, the same boundary converts customer discovery and organization context into a reusable blueprint-guided construction contract.</w:t>
      </w:r>
    </w:p>
    <w:p>
      <w:pPr>
        <w:pStyle w:val="Heading1"/>
      </w:pPr>
      <w:r>
        <w:t>1. The Problem: Prompts Are Not Software Specifications</w:t>
      </w:r>
    </w:p>
    <w:p>
      <w:r>
        <w:t>A natural-language prompt is useful for expressing intent, but it is an unreliable substitute for a formally structured application specification. Even a long prompt may repeat requirements inconsistently, omit relationships, mix business semantics with generator instructions, carry artifacts from unrelated domains, or leave critical decisions to inference.</w:t>
      </w:r>
    </w:p>
    <w:p>
      <w:r>
        <w:t>In the conventional workflow, one LLM is implicitly asked to perform all of the following:</w:t>
      </w:r>
    </w:p>
    <w:p>
      <w:pPr>
        <w:pStyle w:val="ListBullet"/>
        <w:spacing w:after="80" w:line="290" w:lineRule="auto"/>
      </w:pPr>
      <w:r>
        <w:t>Interpret an informal or partially structured request.</w:t>
      </w:r>
    </w:p>
    <w:p>
      <w:pPr>
        <w:pStyle w:val="ListBullet"/>
        <w:spacing w:after="80" w:line="290" w:lineRule="auto"/>
      </w:pPr>
      <w:r>
        <w:t>Infer the application architecture and domain model.</w:t>
      </w:r>
    </w:p>
    <w:p>
      <w:pPr>
        <w:pStyle w:val="ListBullet"/>
        <w:spacing w:after="80" w:line="290" w:lineRule="auto"/>
      </w:pPr>
      <w:r>
        <w:t>Resolve entities, dependencies, state, and relationships.</w:t>
      </w:r>
    </w:p>
    <w:p>
      <w:pPr>
        <w:pStyle w:val="ListBullet"/>
        <w:spacing w:after="80" w:line="290" w:lineRule="auto"/>
      </w:pPr>
      <w:r>
        <w:t>Detect contradictions and silently decide how to handle them.</w:t>
      </w:r>
    </w:p>
    <w:p>
      <w:pPr>
        <w:pStyle w:val="ListBullet"/>
        <w:spacing w:after="80" w:line="290" w:lineRule="auto"/>
      </w:pPr>
      <w:r>
        <w:t>Design workflows, navigation, user interfaces, persistence, and governance.</w:t>
      </w:r>
    </w:p>
    <w:p>
      <w:pPr>
        <w:pStyle w:val="ListBullet"/>
        <w:spacing w:after="80" w:line="290" w:lineRule="auto"/>
      </w:pPr>
      <w:r>
        <w:t>Generate target-language code and tests.</w:t>
      </w:r>
    </w:p>
    <w:p>
      <w:pPr>
        <w:pStyle w:val="ListBullet"/>
        <w:spacing w:after="80" w:line="290" w:lineRule="auto"/>
      </w:pPr>
      <w:r>
        <w:t>Evaluate its own completeness and report success.</w:t>
      </w:r>
    </w:p>
    <w:p>
      <w:r>
        <w:t>These responsibilities combine deterministic compilation problems with probabilistic code generation. The proposed compiler separates them. Deterministic analysis resolves what the application means; the LLM determines how to implement the resulting valid target specification.</w:t>
      </w:r>
    </w:p>
    <w:p>
      <w:pPr>
        <w:pStyle w:val="Heading1"/>
      </w:pPr>
      <w:r>
        <w:t>2. The Proposed Architecture</w:t>
      </w:r>
    </w:p>
    <w:p>
      <w:r>
        <w:t>The LLM Script Compiler is a semantic compilation system positioned between a live application model and one or more implementation LLMs. It accepts a complete internal structured software architecture model and emits a smaller external program that preserves only the effective, reachable, validated application meaning.</w:t>
      </w:r>
    </w:p>
    <w:p>
      <w:r>
        <w:t>The invention is not ordinary ZIP compression and not merely prompt templating. It combines typed semantic parsing, transitive dependency linking, application-specific reachability analysis, canonical dictionary references, constraint normalization, privacy filtering, and LLM-targeted emission.</w:t>
      </w:r>
    </w:p>
    <w:tbl>
      <w:tblPr>
        <w:tblW w:type="dxa" w:w="9360"/>
        <w:tblLayout w:type="fixed"/>
        <w:tblLook w:firstColumn="1" w:firstRow="1" w:lastColumn="0" w:lastRow="0" w:noHBand="0" w:noVBand="1" w:val="04A0"/>
        <w:jc w:val="left"/>
        <w:tblInd w:w="120" w:type="dxa"/>
      </w:tblPr>
      <w:tblGrid>
        <w:gridCol w:w="2160"/>
        <w:gridCol w:w="7200"/>
      </w:tblGrid>
      <w:tr>
        <w:trPr>
          <w:cantSplit/>
        </w:trPr>
        <w:tc>
          <w:tcPr>
            <w:tcW w:type="dxa" w:w="216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Compiler concept</w:t>
            </w:r>
          </w:p>
        </w:tc>
        <w:tc>
          <w:tcPr>
            <w:tcW w:type="dxa" w:w="720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LLM Script Compiler equivalent</w:t>
            </w:r>
          </w:p>
        </w:tc>
      </w:tr>
      <w:tr>
        <w:trPr>
          <w:cantSplit/>
        </w:trPr>
        <w:tc>
          <w:tcPr>
            <w:tcW w:type="dxa" w:w="21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Source language</w:t>
            </w:r>
          </w:p>
        </w:tc>
        <w:tc>
          <w:tcPr>
            <w:tcW w:type="dxa" w:w="72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application root specification, capability contracts, typed dependencies, topology, state, UI semantics</w:t>
            </w:r>
          </w:p>
        </w:tc>
      </w:tr>
      <w:tr>
        <w:trPr>
          <w:cantSplit/>
        </w:trPr>
        <w:tc>
          <w:tcPr>
            <w:tcW w:type="dxa" w:w="21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Lexer and parser</w:t>
            </w:r>
          </w:p>
        </w:tc>
        <w:tc>
          <w:tcPr>
            <w:tcW w:type="dxa" w:w="72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Recognize typed semantic tokens and build an application AST</w:t>
            </w:r>
          </w:p>
        </w:tc>
      </w:tr>
      <w:tr>
        <w:trPr>
          <w:cantSplit/>
        </w:trPr>
        <w:tc>
          <w:tcPr>
            <w:tcW w:type="dxa" w:w="21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Symbol table</w:t>
            </w:r>
          </w:p>
        </w:tc>
        <w:tc>
          <w:tcPr>
            <w:tcW w:type="dxa" w:w="72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Canonical entities, capability modules, operations, states, flows, constraints, and tests</w:t>
            </w:r>
          </w:p>
        </w:tc>
      </w:tr>
      <w:tr>
        <w:trPr>
          <w:cantSplit/>
        </w:trPr>
        <w:tc>
          <w:tcPr>
            <w:tcW w:type="dxa" w:w="21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Type checker</w:t>
            </w:r>
          </w:p>
        </w:tc>
        <w:tc>
          <w:tcPr>
            <w:tcW w:type="dxa" w:w="72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Validate allowable token kinds, field types, references, and parameter binding</w:t>
            </w:r>
          </w:p>
        </w:tc>
      </w:tr>
      <w:tr>
        <w:trPr>
          <w:cantSplit/>
        </w:trPr>
        <w:tc>
          <w:tcPr>
            <w:tcW w:type="dxa" w:w="21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Linker</w:t>
            </w:r>
          </w:p>
        </w:tc>
        <w:tc>
          <w:tcPr>
            <w:tcW w:type="dxa" w:w="72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Resolve transitive dependencies and bind workflows, topology, UI, persistence, and governance</w:t>
            </w:r>
          </w:p>
        </w:tc>
      </w:tr>
      <w:tr>
        <w:trPr>
          <w:cantSplit/>
        </w:trPr>
        <w:tc>
          <w:tcPr>
            <w:tcW w:type="dxa" w:w="21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Dead-code elimination</w:t>
            </w:r>
          </w:p>
        </w:tc>
        <w:tc>
          <w:tcPr>
            <w:tcW w:type="dxa" w:w="72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Remove inactive, irrelevant, unreachable, or superseded semantics</w:t>
            </w:r>
          </w:p>
        </w:tc>
      </w:tr>
      <w:tr>
        <w:trPr>
          <w:cantSplit/>
        </w:trPr>
        <w:tc>
          <w:tcPr>
            <w:tcW w:type="dxa" w:w="21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Optimization</w:t>
            </w:r>
          </w:p>
        </w:tc>
        <w:tc>
          <w:tcPr>
            <w:tcW w:type="dxa" w:w="72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Deduplicate requirements and replace repeated patterns with canonical references</w:t>
            </w:r>
          </w:p>
        </w:tc>
      </w:tr>
      <w:tr>
        <w:trPr>
          <w:cantSplit/>
        </w:trPr>
        <w:tc>
          <w:tcPr>
            <w:tcW w:type="dxa" w:w="21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Target emitter</w:t>
            </w:r>
          </w:p>
        </w:tc>
        <w:tc>
          <w:tcPr>
            <w:tcW w:type="dxa" w:w="72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Produce linked or portable LLM-oriented scripts</w:t>
            </w:r>
          </w:p>
        </w:tc>
      </w:tr>
      <w:tr>
        <w:trPr>
          <w:cantSplit/>
        </w:trPr>
        <w:tc>
          <w:tcPr>
            <w:tcW w:type="dxa" w:w="21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Diagnostics</w:t>
            </w:r>
          </w:p>
        </w:tc>
        <w:tc>
          <w:tcPr>
            <w:tcW w:type="dxa" w:w="72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Blocking errors, warnings, and traceable evidence</w:t>
            </w:r>
          </w:p>
        </w:tc>
      </w:tr>
    </w:tbl>
    <w:p>
      <w:pPr>
        <w:spacing w:after="20"/>
      </w:pPr>
    </w:p>
    <w:p>
      <w:pPr>
        <w:pStyle w:val="Heading2"/>
      </w:pPr>
      <w:r>
        <w:t>2.1 Software Blueprint definition</w:t>
      </w:r>
    </w:p>
    <w:p>
      <w:pPr/>
      <w:r>
        <w:t>This paper defines a Software Blueprint as a set of software components and business rules explicitly wired together to achieve a stated purpose. A component catalog, rule list, database schema, or diagram alone is not a complete blueprint. The connections must identify how inputs, outputs, rules, commands, events, state, and expected outcomes interact.</w:t>
      </w:r>
    </w:p>
    <w:p>
      <w:pPr/>
      <w:r>
        <w:t>Blueprints are hierarchical. A parent establishes broader purpose and constraints; a child specializes or fulfills part of that purpose and may contain further children. The proposed semantic spine is: Level 0 Enterprise and Platform; Level 1 Domain and Business Application; Level 2 Capability and Business Process; Level 3 Aggregate and Entity; and Level 4 Behavior and Contract Leaves.</w:t>
      </w:r>
    </w:p>
    <w:p>
      <w:pPr/>
      <w:r>
        <w:t>Infrastructure, persistence, security, integration, user-interface, localization, and verification concerns are attached as governed projections or cross-cutting contracts at the highest applicable level. Semantic fields are not coupled directly to HTML controls: the same field may project to a web input, desktop control, API value, database column, or document representation.</w:t>
      </w:r>
    </w:p>
    <w:p>
      <w:pPr>
        <w:pStyle w:val="Heading1"/>
      </w:pPr>
      <w:r>
        <w:t>3. Master Context Dictionary and Token Manifest</w:t>
      </w:r>
    </w:p>
    <w:p>
      <w:r>
        <w:t>The Master Context Dictionary is a versioned library of reusable semantic building blocks. Entries may describe entity schemas, workflow patterns, UI layouts, persistence profiles, validation rules, governance policies, and acceptance templates. The application itself is represented by a Token Manifest that selects and parameterizes dictionary entries.</w:t>
      </w:r>
    </w:p>
    <w:p>
      <w:pPr>
        <w:pStyle w:val="CodeBlock"/>
        <w:shd w:fill="F1F3F5"/>
      </w:pPr>
      <w:r>
        <w:t>"#UI_LAYOUT_TOP_SIDEBAR" =&gt; regions, behaviors, route constraints</w:t>
        <w:br/>
        <w:t>"#PERSIST_JSON_FALLBACK"   =&gt; persistence contract and durability rules</w:t>
        <w:br/>
        <w:t>"#ENTITY_CUSTOMER"        =&gt; canonical customer schema</w:t>
        <w:br/>
        <w:t>"#FLOW_CRUD_PIPELINE"     =&gt; validate -&gt; govern -&gt; mutate -&gt; audit</w:t>
      </w:r>
    </w:p>
    <w:p>
      <w:pPr>
        <w:pStyle w:val="CodeBlock"/>
        <w:shd w:fill="F1F3F5"/>
      </w:pPr>
      <w:r>
        <w:t>{</w:t>
        <w:br/>
        <w:t xml:space="preserve">  "appId": "SERVICE_MANAGEMENT_APP",</w:t>
        <w:br/>
        <w:t xml:space="preserve">  "dictionary": {"version":"1.0", "hash":"sha256:..."},</w:t>
        <w:br/>
        <w:t xml:space="preserve">  "contextTokens": [</w:t>
        <w:br/>
        <w:t xml:space="preserve">    "#DOMAIN_SERVICE_OPERATIONS",</w:t>
        <w:br/>
        <w:t xml:space="preserve">    "#UI_LAYOUT_TOP_SIDEBAR",</w:t>
        <w:br/>
        <w:t xml:space="preserve">    "#PERSIST_JSON_FALLBACK"</w:t>
        <w:br/>
        <w:t xml:space="preserve">  ],</w:t>
        <w:br/>
        <w:t xml:space="preserve">  "activeEntities": [</w:t>
        <w:br/>
        <w:t xml:space="preserve">    "#ENTITY_CUSTOMER", "#ENTITY_ASSET", "#ENTITY_SERVICE_REQUEST"</w:t>
        <w:br/>
        <w:t xml:space="preserve">  ]</w:t>
        <w:br/>
        <w:t>}</w:t>
      </w:r>
    </w:p>
    <w:p>
      <w:r>
        <w:t>The dictionary must remain immutable by version. A manifest binds to a specific dictionary version and content hash so the meaning of a previously compiled application cannot drift. A changed definition creates a new version or governed Variant.</w:t>
      </w:r>
    </w:p>
    <w:p>
      <w:pPr>
        <w:pStyle w:val="Heading1"/>
      </w:pPr>
      <w:r>
        <w:t>4. The Typed Semantic Token Model</w:t>
      </w:r>
    </w:p>
    <w:p>
      <w:r>
        <w:t>A single undifferentiated word set would lose context. The compiler therefore maintains typed symbol sets and relationships. Let the semantic vocabulary be:</w:t>
      </w:r>
    </w:p>
    <w:p>
      <w:pPr>
        <w:pStyle w:val="CodeBlock"/>
        <w:shd w:fill="F1F3F5"/>
      </w:pPr>
      <w:r>
        <w:t>V = E ∪ N ∪ O ∪ S ∪ F ∪ C ∪ A</w:t>
      </w:r>
    </w:p>
    <w:p>
      <w:r>
        <w:t>where E denotes entities, N capability modules, O operations, S state symbols, F flows and events, C constraints, and A acceptance scenarios. The compiled semantic program is a typed graph G = (V, R), where R contains relationships such as REQUIRES, READS, WRITES, PRODUCES, TARGETS, ASSIGNED_TO, PROJECTS, and VALIDATED_BY.</w:t>
      </w:r>
    </w:p>
    <w:tbl>
      <w:tblPr>
        <w:tblW w:type="dxa" w:w="9360"/>
        <w:tblLayout w:type="fixed"/>
        <w:tblLook w:firstColumn="1" w:firstRow="1" w:lastColumn="0" w:lastRow="0" w:noHBand="0" w:noVBand="1" w:val="04A0"/>
        <w:jc w:val="left"/>
        <w:tblInd w:w="120" w:type="dxa"/>
      </w:tblPr>
      <w:tblGrid>
        <w:gridCol w:w="1500"/>
        <w:gridCol w:w="3060"/>
        <w:gridCol w:w="4800"/>
      </w:tblGrid>
      <w:tr>
        <w:trPr>
          <w:cantSplit/>
        </w:trPr>
        <w:tc>
          <w:tcPr>
            <w:tcW w:type="dxa" w:w="150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Token class</w:t>
            </w:r>
          </w:p>
        </w:tc>
        <w:tc>
          <w:tcPr>
            <w:tcW w:type="dxa" w:w="306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Examples</w:t>
            </w:r>
          </w:p>
        </w:tc>
        <w:tc>
          <w:tcPr>
            <w:tcW w:type="dxa" w:w="480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Compiler checks</w:t>
            </w:r>
          </w:p>
        </w:tc>
      </w:tr>
      <w:tr>
        <w:trPr>
          <w:cantSplit/>
        </w:trPr>
        <w:tc>
          <w:tcPr>
            <w:tcW w:type="dxa" w:w="1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Entity</w:t>
            </w:r>
          </w:p>
        </w:tc>
        <w:tc>
          <w:tcPr>
            <w:tcW w:type="dxa" w:w="30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CUSTOMER, ASSET, SERVICE_REQUEST</w:t>
            </w:r>
          </w:p>
        </w:tc>
        <w:tc>
          <w:tcPr>
            <w:tcW w:type="dxa" w:w="48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Schema, identity, references, lifecycle</w:t>
            </w:r>
          </w:p>
        </w:tc>
      </w:tr>
      <w:tr>
        <w:trPr>
          <w:cantSplit/>
        </w:trPr>
        <w:tc>
          <w:tcPr>
            <w:tcW w:type="dxa" w:w="1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capability module</w:t>
            </w:r>
          </w:p>
        </w:tc>
        <w:tc>
          <w:tcPr>
            <w:tcW w:type="dxa" w:w="30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APPLICATION_NAVIGATION, ENTITY_CRUD</w:t>
            </w:r>
          </w:p>
        </w:tc>
        <w:tc>
          <w:tcPr>
            <w:tcW w:type="dxa" w:w="48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root context completeness, dependencies, readiness</w:t>
            </w:r>
          </w:p>
        </w:tc>
      </w:tr>
      <w:tr>
        <w:trPr>
          <w:cantSplit/>
        </w:trPr>
        <w:tc>
          <w:tcPr>
            <w:tcW w:type="dxa" w:w="1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State</w:t>
            </w:r>
          </w:p>
        </w:tc>
        <w:tc>
          <w:tcPr>
            <w:tcW w:type="dxa" w:w="30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APPLICATION_TOPOLOGY, CRUD_POLICY</w:t>
            </w:r>
          </w:p>
        </w:tc>
        <w:tc>
          <w:tcPr>
            <w:tcW w:type="dxa" w:w="48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Owner, reader/writer compatibility</w:t>
            </w:r>
          </w:p>
        </w:tc>
      </w:tr>
      <w:tr>
        <w:trPr>
          <w:cantSplit/>
        </w:trPr>
        <w:tc>
          <w:tcPr>
            <w:tcW w:type="dxa" w:w="1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Flow/Event</w:t>
            </w:r>
          </w:p>
        </w:tc>
        <w:tc>
          <w:tcPr>
            <w:tcW w:type="dxa" w:w="30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SERVICE_REQUEST_CREATE, POLICY_CHANGED</w:t>
            </w:r>
          </w:p>
        </w:tc>
        <w:tc>
          <w:tcPr>
            <w:tcW w:type="dxa" w:w="48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Reachability, step existence, propagation</w:t>
            </w:r>
          </w:p>
        </w:tc>
      </w:tr>
      <w:tr>
        <w:trPr>
          <w:cantSplit/>
        </w:trPr>
        <w:tc>
          <w:tcPr>
            <w:tcW w:type="dxa" w:w="1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Constraint</w:t>
            </w:r>
          </w:p>
        </w:tc>
        <w:tc>
          <w:tcPr>
            <w:tcW w:type="dxa" w:w="30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DELETE_RESTRICT, STABLE_ROUTE</w:t>
            </w:r>
          </w:p>
        </w:tc>
        <w:tc>
          <w:tcPr>
            <w:tcW w:type="dxa" w:w="48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Scope, duplication, contradictions</w:t>
            </w:r>
          </w:p>
        </w:tc>
      </w:tr>
      <w:tr>
        <w:trPr>
          <w:cantSplit/>
        </w:trPr>
        <w:tc>
          <w:tcPr>
            <w:tcW w:type="dxa" w:w="1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Acceptance</w:t>
            </w:r>
          </w:p>
        </w:tc>
        <w:tc>
          <w:tcPr>
            <w:tcW w:type="dxa" w:w="30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RESTART_PERSISTS_POLICY</w:t>
            </w:r>
          </w:p>
        </w:tc>
        <w:tc>
          <w:tcPr>
            <w:tcW w:type="dxa" w:w="48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Coverage of observable promises</w:t>
            </w:r>
          </w:p>
        </w:tc>
      </w:tr>
    </w:tbl>
    <w:p>
      <w:pPr>
        <w:spacing w:after="20"/>
      </w:pPr>
    </w:p>
    <w:p>
      <w:pPr>
        <w:pStyle w:val="Heading1"/>
      </w:pPr>
      <w:r>
        <w:t>5. Compilation Pipeline</w:t>
      </w:r>
    </w:p>
    <w:p>
      <w:pPr>
        <w:spacing w:after="100"/>
      </w:pPr>
      <w:r>
        <w:rPr>
          <w:b/>
        </w:rPr>
        <w:t xml:space="preserve">Lexical analysis: </w:t>
      </w:r>
      <w:r>
        <w:t>Recognize dictionary tokens, application symbols, literals, parameters, and references.</w:t>
      </w:r>
    </w:p>
    <w:p>
      <w:pPr>
        <w:spacing w:after="100"/>
      </w:pPr>
      <w:r>
        <w:rPr>
          <w:b/>
        </w:rPr>
        <w:t xml:space="preserve">Parsing: </w:t>
      </w:r>
      <w:r>
        <w:t>Build a typed Application AST rather than treating the hierarchy as undifferentiated JSON text.</w:t>
      </w:r>
    </w:p>
    <w:p>
      <w:pPr>
        <w:spacing w:after="100"/>
      </w:pPr>
      <w:r>
        <w:rPr>
          <w:b/>
        </w:rPr>
        <w:t xml:space="preserve">Symbol resolution: </w:t>
      </w:r>
      <w:r>
        <w:t>Confirm every referenced entity, state, flow, constraint, and capability module exists in the active compilation unit or dictionary.</w:t>
      </w:r>
    </w:p>
    <w:p>
      <w:pPr>
        <w:spacing w:after="100"/>
      </w:pPr>
      <w:r>
        <w:rPr>
          <w:b/>
        </w:rPr>
        <w:t xml:space="preserve">Transitive dependency resolution: </w:t>
      </w:r>
      <w:r>
        <w:t>Compute the transitive closure of needs and dependencies starting from the application root specification.</w:t>
      </w:r>
    </w:p>
    <w:p>
      <w:pPr>
        <w:spacing w:after="100"/>
      </w:pPr>
      <w:r>
        <w:rPr>
          <w:b/>
        </w:rPr>
        <w:t xml:space="preserve">Type and contract checking: </w:t>
      </w:r>
      <w:r>
        <w:t>Reject invalid substitutions, incompatible state access, missing required fields, and illegal relationship targets.</w:t>
      </w:r>
    </w:p>
    <w:p>
      <w:pPr>
        <w:spacing w:after="100"/>
      </w:pPr>
      <w:r>
        <w:rPr>
          <w:b/>
        </w:rPr>
        <w:t xml:space="preserve">Parameter binding: </w:t>
      </w:r>
      <w:r>
        <w:t>Instantiate reusable templates, such as a CRUD pipeline, for an application-specific entity.</w:t>
      </w:r>
    </w:p>
    <w:p>
      <w:pPr>
        <w:spacing w:after="100"/>
      </w:pPr>
      <w:r>
        <w:rPr>
          <w:b/>
        </w:rPr>
        <w:t xml:space="preserve">Semantic linking: </w:t>
      </w:r>
      <w:r>
        <w:t>Bind business behavior to persistence, navigation, UI controls, Administration propagation, and verification boundaries.</w:t>
      </w:r>
    </w:p>
    <w:p>
      <w:pPr>
        <w:spacing w:after="100"/>
      </w:pPr>
      <w:r>
        <w:rPr>
          <w:b/>
        </w:rPr>
        <w:t xml:space="preserve">Reachability analysis: </w:t>
      </w:r>
      <w:r>
        <w:t>Remove definitions not reachable from the effective application root specification.</w:t>
      </w:r>
    </w:p>
    <w:p>
      <w:pPr>
        <w:spacing w:after="100"/>
      </w:pPr>
      <w:r>
        <w:rPr>
          <w:b/>
        </w:rPr>
        <w:t xml:space="preserve">Deduplication and normalization: </w:t>
      </w:r>
      <w:r>
        <w:t>Convert equivalent repeated language into one canonical constraint or template reference.</w:t>
      </w:r>
    </w:p>
    <w:p>
      <w:pPr>
        <w:spacing w:after="100"/>
      </w:pPr>
      <w:r>
        <w:rPr>
          <w:b/>
        </w:rPr>
        <w:t xml:space="preserve">IP and privacy filtering: </w:t>
      </w:r>
      <w:r>
        <w:t>Exclude private repository intelligence, composition heuristics, prompts, owner-private metadata, and proprietary reasoning.</w:t>
      </w:r>
    </w:p>
    <w:p>
      <w:pPr>
        <w:spacing w:after="100"/>
      </w:pPr>
      <w:r>
        <w:rPr>
          <w:b/>
        </w:rPr>
        <w:t xml:space="preserve">Target emission: </w:t>
      </w:r>
      <w:r>
        <w:t>Generate a linked manifest or a portable self-contained dictionary subset for the selected LLM.</w:t>
      </w:r>
    </w:p>
    <w:p>
      <w:pPr>
        <w:spacing w:after="100"/>
      </w:pPr>
      <w:r>
        <w:rPr>
          <w:b/>
        </w:rPr>
        <w:t xml:space="preserve">Delivery gate: </w:t>
      </w:r>
      <w:r>
        <w:t>Block emission unless the compiled AST is structurally valid and all mandatory semantics have acceptance coverage.</w:t>
      </w:r>
    </w:p>
    <w:p>
      <w:pPr>
        <w:pStyle w:val="Heading2"/>
      </w:pPr>
      <w:r>
        <w:t>5.1 Three-stage compiler architecture</w:t>
      </w:r>
    </w:p>
    <w:p>
      <w:pPr/>
      <w:r>
        <w:t>Stage 1 — Java Blueprint Metamodel and Repository. Type-safe Java records define the valid Level 0-through-Level 4 hierarchy and its components, rules, wiring, constraints, readiness, provenance, and outcomes. External JSONC, database, imported, or generated instances remain data-driven and do not require recompiling the Java metamodel.</w:t>
      </w:r>
    </w:p>
    <w:p>
      <w:pPr/>
      <w:r>
        <w:t>Stage 2 — Semantic Compilation Engine. The compiler resolves hierarchy, dependencies, references, rule ownership, and wiring; detects contradictions and missing obligations; performs semantic-closure validation; and produces one authoritative in-memory canonical Software AST with construction and verification requirements.</w:t>
      </w:r>
    </w:p>
    <w:p>
      <w:pPr/>
      <w:r>
        <w:t>Stage 3 — AST Target and Serialization Engine. The emitter selects a target capability profile, removes unreachable content, normalizes and tokenizes repeated structures, serializes the AST, adds decoding and evidence contracts, verifies reconstruction, and emits a portable artifact. LLM_AST_TOKEN_MANIFEST_V4 is one current JSONC emitter format rather than the permanent architecture.</w:t>
      </w:r>
    </w:p>
    <w:p>
      <w:pPr/>
      <w:r>
        <w:t>Prompt text is an optional target projection around the AST, not the source of truth. Reverse processing decodes a compatible artifact into the canonical AST, validates it, and reconstructs an editable blueprint projection without implying recovery of private compiler internals.</w:t>
      </w:r>
    </w:p>
    <w:p>
      <w:pPr>
        <w:pStyle w:val="Heading1"/>
      </w:pPr>
      <w:r>
        <w:t>6. Linked and Portable Output Modes</w:t>
      </w:r>
    </w:p>
    <w:p>
      <w:r>
        <w:t>The compiler requires two output modes because an external model cannot interpret a token unless it has the corresponding definition.</w:t>
      </w:r>
    </w:p>
    <w:tbl>
      <w:tblPr>
        <w:tblW w:type="dxa" w:w="9360"/>
        <w:tblLayout w:type="fixed"/>
        <w:tblLook w:firstColumn="1" w:firstRow="1" w:lastColumn="0" w:lastRow="0" w:noHBand="0" w:noVBand="1" w:val="04A0"/>
        <w:jc w:val="left"/>
        <w:tblInd w:w="120" w:type="dxa"/>
      </w:tblPr>
      <w:tblGrid>
        <w:gridCol w:w="1100"/>
        <w:gridCol w:w="2700"/>
        <w:gridCol w:w="2800"/>
        <w:gridCol w:w="2760"/>
      </w:tblGrid>
      <w:tr>
        <w:trPr>
          <w:cantSplit/>
        </w:trPr>
        <w:tc>
          <w:tcPr>
            <w:tcW w:type="dxa" w:w="110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Mode</w:t>
            </w:r>
          </w:p>
        </w:tc>
        <w:tc>
          <w:tcPr>
            <w:tcW w:type="dxa" w:w="270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Contents</w:t>
            </w:r>
          </w:p>
        </w:tc>
        <w:tc>
          <w:tcPr>
            <w:tcW w:type="dxa" w:w="280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Best use</w:t>
            </w:r>
          </w:p>
        </w:tc>
        <w:tc>
          <w:tcPr>
            <w:tcW w:type="dxa" w:w="276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Tradeoff</w:t>
            </w:r>
          </w:p>
        </w:tc>
      </w:tr>
      <w:tr>
        <w:trPr>
          <w:cantSplit/>
        </w:trPr>
        <w:tc>
          <w:tcPr>
            <w:tcW w:type="dxa" w:w="11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Linked</w:t>
            </w:r>
          </w:p>
        </w:tc>
        <w:tc>
          <w:tcPr>
            <w:tcW w:type="dxa" w:w="27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Small manifest referencing a preloaded dictionary</w:t>
            </w:r>
          </w:p>
        </w:tc>
        <w:tc>
          <w:tcPr>
            <w:tcW w:type="dxa" w:w="28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Controlled tools, cached model context, private local execution</w:t>
            </w:r>
          </w:p>
        </w:tc>
        <w:tc>
          <w:tcPr>
            <w:tcW w:type="dxa" w:w="27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Smallest input; receiver must possess exact dictionary version</w:t>
            </w:r>
          </w:p>
        </w:tc>
      </w:tr>
      <w:tr>
        <w:trPr>
          <w:cantSplit/>
        </w:trPr>
        <w:tc>
          <w:tcPr>
            <w:tcW w:type="dxa" w:w="11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Portable</w:t>
            </w:r>
          </w:p>
        </w:tc>
        <w:tc>
          <w:tcPr>
            <w:tcW w:type="dxa" w:w="27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Manifest plus only the reachable dictionary subset</w:t>
            </w:r>
          </w:p>
        </w:tc>
        <w:tc>
          <w:tcPr>
            <w:tcW w:type="dxa" w:w="28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t>Fresh independent LLM session</w:t>
            </w:r>
          </w:p>
        </w:tc>
        <w:tc>
          <w:tcPr>
            <w:tcW w:type="dxa" w:w="27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Larger, but self-contained and independently reproducible</w:t>
            </w:r>
          </w:p>
        </w:tc>
      </w:tr>
    </w:tbl>
    <w:p>
      <w:pPr>
        <w:spacing w:after="20"/>
      </w:pPr>
    </w:p>
    <w:p>
      <w:r>
        <w:t>The portable mode is the appropriate baseline for current cross-model experiments. It protects completeness while still gaining substantial reduction through reachability analysis and deduplication.</w:t>
      </w:r>
    </w:p>
    <w:p>
      <w:pPr>
        <w:pStyle w:val="Heading1"/>
      </w:pPr>
      <w:r>
        <w:t>7. Compiler Diagnostics for Common Specification Defects</w:t>
      </w:r>
    </w:p>
    <w:p>
      <w:r>
        <w:t>Structured specifications can improve model interpretation while still carrying stale, duplicated, or generator-specific artifacts. The proposed compiler turns these common failure modes into formal diagnostics.</w:t>
      </w:r>
    </w:p>
    <w:tbl>
      <w:tblPr>
        <w:tblW w:type="dxa" w:w="9360"/>
        <w:tblLayout w:type="fixed"/>
        <w:tblLook w:firstColumn="1" w:firstRow="1" w:lastColumn="0" w:lastRow="0" w:noHBand="0" w:noVBand="1" w:val="04A0"/>
        <w:jc w:val="left"/>
        <w:tblInd w:w="120" w:type="dxa"/>
      </w:tblPr>
      <w:tblGrid>
        <w:gridCol w:w="3100"/>
        <w:gridCol w:w="6260"/>
      </w:tblGrid>
      <w:tr>
        <w:trPr>
          <w:cantSplit/>
        </w:trPr>
        <w:tc>
          <w:tcPr>
            <w:tcW w:type="dxa" w:w="310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Observed issue</w:t>
            </w:r>
          </w:p>
        </w:tc>
        <w:tc>
          <w:tcPr>
            <w:tcW w:type="dxa" w:w="626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Compiler response</w:t>
            </w:r>
          </w:p>
        </w:tc>
      </w:tr>
      <w:tr>
        <w:trPr>
          <w:cantSplit/>
        </w:trPr>
        <w:tc>
          <w:tcPr>
            <w:tcW w:type="dxa" w:w="31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t>Stale references to an undefined entity</w:t>
            </w:r>
          </w:p>
        </w:tc>
        <w:tc>
          <w:tcPr>
            <w:tcW w:type="dxa" w:w="62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Undefined or unreachable entity symbol; compilation fails</w:t>
            </w:r>
          </w:p>
        </w:tc>
      </w:tr>
      <w:tr>
        <w:trPr>
          <w:cantSplit/>
        </w:trPr>
        <w:tc>
          <w:tcPr>
            <w:tcW w:type="dxa" w:w="31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Relationships citing nonexistent flows</w:t>
            </w:r>
          </w:p>
        </w:tc>
        <w:tc>
          <w:tcPr>
            <w:tcW w:type="dxa" w:w="62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Linker rejects dangling flow evidence</w:t>
            </w:r>
          </w:p>
        </w:tc>
      </w:tr>
      <w:tr>
        <w:trPr>
          <w:cantSplit/>
        </w:trPr>
        <w:tc>
          <w:tcPr>
            <w:tcW w:type="dxa" w:w="31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t>Artifacts inherited from unrelated domains</w:t>
            </w:r>
          </w:p>
        </w:tc>
        <w:tc>
          <w:tcPr>
            <w:tcW w:type="dxa" w:w="62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Reachability analysis removes unrelated domain tokens</w:t>
            </w:r>
          </w:p>
        </w:tc>
      </w:tr>
      <w:tr>
        <w:trPr>
          <w:cantSplit/>
        </w:trPr>
        <w:tc>
          <w:tcPr>
            <w:tcW w:type="dxa" w:w="31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Unrelated component maturity records</w:t>
            </w:r>
          </w:p>
        </w:tc>
        <w:tc>
          <w:tcPr>
            <w:tcW w:type="dxa" w:w="62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Maturity resolves only for active token instances</w:t>
            </w:r>
          </w:p>
        </w:tc>
      </w:tr>
      <w:tr>
        <w:trPr>
          <w:cantSplit/>
        </w:trPr>
        <w:tc>
          <w:tcPr>
            <w:tcW w:type="dxa" w:w="31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Repeated Administration definitions</w:t>
            </w:r>
          </w:p>
        </w:tc>
        <w:tc>
          <w:tcPr>
            <w:tcW w:type="dxa" w:w="62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Canonical dictionary definition referenced once</w:t>
            </w:r>
          </w:p>
        </w:tc>
      </w:tr>
      <w:tr>
        <w:trPr>
          <w:cantSplit/>
        </w:trPr>
        <w:tc>
          <w:tcPr>
            <w:tcW w:type="dxa" w:w="31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Verbose repeated constraints</w:t>
            </w:r>
          </w:p>
        </w:tc>
        <w:tc>
          <w:tcPr>
            <w:tcW w:type="dxa" w:w="62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Normalize into typed constraint tokens and templates</w:t>
            </w:r>
          </w:p>
        </w:tc>
      </w:tr>
      <w:tr>
        <w:trPr>
          <w:cantSplit/>
        </w:trPr>
        <w:tc>
          <w:tcPr>
            <w:tcW w:type="dxa" w:w="31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Menu inferred from data contracts</w:t>
            </w:r>
          </w:p>
        </w:tc>
        <w:tc>
          <w:tcPr>
            <w:tcW w:type="dxa" w:w="62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t>Navigation projection must consume the authoritative topology</w:t>
            </w:r>
          </w:p>
        </w:tc>
      </w:tr>
      <w:tr>
        <w:trPr>
          <w:cantSplit/>
        </w:trPr>
        <w:tc>
          <w:tcPr>
            <w:tcW w:type="dxa" w:w="31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t>Selected domain represented only by a label</w:t>
            </w:r>
          </w:p>
        </w:tc>
        <w:tc>
          <w:tcPr>
            <w:tcW w:type="dxa" w:w="62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Domain token is incomplete unless it contributes entities, flows, relationships, UI, and tests</w:t>
            </w:r>
          </w:p>
        </w:tc>
      </w:tr>
      <w:tr>
        <w:trPr>
          <w:cantSplit/>
        </w:trPr>
        <w:tc>
          <w:tcPr>
            <w:tcW w:type="dxa" w:w="31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Administration tested only through APIs</w:t>
            </w:r>
          </w:p>
        </w:tc>
        <w:tc>
          <w:tcPr>
            <w:tcW w:type="dxa" w:w="62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Acceptance token requires visible UI effect, API enforcement, restart persistence, and recovery</w:t>
            </w:r>
          </w:p>
        </w:tc>
      </w:tr>
      <w:tr>
        <w:trPr>
          <w:cantSplit/>
        </w:trPr>
        <w:tc>
          <w:tcPr>
            <w:tcW w:type="dxa" w:w="31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False PASS validation</w:t>
            </w:r>
          </w:p>
        </w:tc>
        <w:tc>
          <w:tcPr>
            <w:tcW w:type="dxa" w:w="62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Delivery gate derives PASS from executed checks, never a declared label</w:t>
            </w:r>
          </w:p>
        </w:tc>
      </w:tr>
    </w:tbl>
    <w:p>
      <w:pPr>
        <w:spacing w:after="20"/>
      </w:pPr>
    </w:p>
    <w:p>
      <w:pPr>
        <w:pStyle w:val="LeadCallout"/>
      </w:pPr>
      <w:r>
        <w:t>Tokenization alone does not correct these defects; it can compress an invalid script. The improvement comes from typed parsing, linking, reachability, and blocking validation before compression and emission.</w:t>
      </w:r>
    </w:p>
    <w:p>
      <w:pPr>
        <w:pStyle w:val="Heading1"/>
      </w:pPr>
      <w:r>
        <w:t>8. Model-Neutral LLM Backends</w:t>
      </w:r>
    </w:p>
    <w:p>
      <w:pPr/>
      <w:r>
        <w:t>The proposed compiler is model-neutral. Different LLMs act as target implementation backends whose outputs can be evaluated against the same compiled semantic program. The compiler separates architecture interpretation from code generation so differences between models can be measured after the specification has been held constant.</w:t>
      </w:r>
    </w:p>
    <w:p>
      <w:pPr/>
      <w:r>
        <w:t>A model-neutral intermediate representation also reduces vendor dependency. Organizations can evaluate multiple implementation backends against identical symbols, constraints, topology, and acceptance requirements without redesigning the architecture for each provider.</w:t>
      </w:r>
    </w:p>
    <w:p>
      <w:r>
        <w:t>To preserve research integrity, future revisions should record for every experiment: the exact model and version, complete input artifact and dictionary version, generation settings when available, elapsed time, output checksum, executed test evidence, human interventions, and known environmental limitations.</w:t>
      </w:r>
    </w:p>
    <w:p>
      <w:pPr>
        <w:pStyle w:val="Heading2"/>
      </w:pPr>
      <w:r>
        <w:t>8.1 Relationship to coding-agent harnesses</w:t>
      </w:r>
    </w:p>
    <w:p>
      <w:pPr/>
      <w:r>
        <w:t>A coding-agent harness is the operational environment around an LLM. It supplies repository context, file and terminal tools, permissions, planning loops, retries, tests, source-control integration, and delivery mechanisms. The Script Compiler addresses a different layer: it defines the portable, validated specification of the outcome that the agent must deliver.</w:t>
      </w:r>
    </w:p>
    <w:p>
      <w:pPr/>
      <w:r>
        <w:t>The practical distinction is: the compiler specifies what must be true; the harness governs how the agent works until it becomes true. These layers are complementary. A capable harness can efficiently build and test the wrong application when its incoming specification is incomplete. Conversely, a strong specification still needs an execution environment capable of producing and verifying the implementation.</w:t>
      </w:r>
    </w:p>
    <w:p>
      <w:pPr>
        <w:pStyle w:val="Heading2"/>
      </w:pPr>
      <w:r>
        <w:t>8.2 Stable intent across evolving coding agents</w:t>
      </w:r>
    </w:p>
    <w:p>
      <w:pPr/>
      <w:r>
        <w:t>The canonical specification should not be redesigned for each coding-agent release. Model and agent vendors are responsible for improving code generation, tool use, context management, and execution. As those capabilities mature, implementation quality, speed, and reliability should improve from the same validated specification. Compiler maintainers need only preserve a narrow compatibility boundary: decoding, required tools, delivery format, test execution, evidence reporting, and explicit handling of unresolved requirements.</w:t>
      </w:r>
    </w:p>
    <w:p>
      <w:pPr/>
      <w:r>
        <w:t>Target profiles should be small, versioned capability descriptions rather than duplicated software specifications. A new agent version normally requires compatibility testing and, when necessary, an adapter update. It should not require rewriting the domain model, business rules, architecture, or acceptance criteria.</w:t>
      </w:r>
    </w:p>
    <w:p>
      <w:pPr>
        <w:pStyle w:val="Heading2"/>
      </w:pPr>
      <w:r>
        <w:t>8.3 Outcome-oriented software construction</w:t>
      </w:r>
    </w:p>
    <w:p>
      <w:pPr/>
      <w:r>
        <w:t>Organizations ultimately require correct business and operational outcomes. Code quality matters because it supports security, reliability, maintainability, compliance, and long-term adaptability; it is not the business objective by itself. The compiler therefore maintains traceability from purpose and requirements to implementation obligations and verification evidence, while allowing different agents to choose different compliant internal implementations.</w:t>
      </w:r>
    </w:p>
    <w:p>
      <w:pPr>
        <w:pStyle w:val="Heading1"/>
        <w:keepNext/>
      </w:pPr>
      <w:r>
        <w:t>9. Durable Context Instead of Conversation Memory</w:t>
      </w:r>
    </w:p>
    <w:p>
      <w:pPr/>
      <w:r>
        <w:t>Long conversations are useful for exploration, but they are not dependable software-specification repositories. As a thread grows across many turns or days, earlier requirements may leave the active context, be compressed into summaries, lose important distinctions, or be displaced by newer instructions. Attachments and experimental findings may also cease to be immediately available. Even when information remains present, a model may retrieve the wrong detail or merge an obsolete decision with the current design.</w:t>
      </w:r>
    </w:p>
    <w:p>
      <w:pPr>
        <w:pStyle w:val="LeadCallout"/>
        <w:keepLines/>
      </w:pPr>
      <w:r>
        <w:t>The conversation discovers meaning; the canonical project model preserves it; and the compiler reconstructs the context required for each LLM assignment.</w:t>
      </w:r>
    </w:p>
    <w:p>
      <w:pPr/>
      <w:r>
        <w:t>The compiler should therefore emit a self-contained context capsule with every build handoff. The capsule is not a transcript. It is a validated projection of the current authoritative state, limited to what the target model needs for the requested construction task.</w:t>
      </w:r>
    </w:p>
    <w:p>
      <w:pPr>
        <w:pStyle w:val="ListBullet"/>
      </w:pPr>
      <w:r>
        <w:t>Project identity, purpose, revision, target model, target platform, and expected deliverables.</w:t>
      </w:r>
    </w:p>
    <w:p>
      <w:pPr>
        <w:pStyle w:val="ListBullet"/>
      </w:pPr>
      <w:r>
        <w:t>Current authoritative decisions, superseded decisions, unresolved questions, and prohibited assumptions.</w:t>
      </w:r>
    </w:p>
    <w:p>
      <w:pPr>
        <w:pStyle w:val="ListBullet"/>
      </w:pPr>
      <w:r>
        <w:t>Organization class, industry, operating model, scale, geography, criticality, regulation, users, and transaction characteristics.</w:t>
      </w:r>
    </w:p>
    <w:p>
      <w:pPr>
        <w:pStyle w:val="ListBullet"/>
      </w:pPr>
      <w:r>
        <w:t>Relevant application entities, relationships, workflows, state transitions, authority rules, persistence, navigation, UI semantics, and Administration behavior.</w:t>
      </w:r>
    </w:p>
    <w:p>
      <w:pPr>
        <w:pStyle w:val="ListBullet"/>
      </w:pPr>
      <w:r>
        <w:t>Acceptance scenarios, negative tests, referential-integrity checks, restart behavior, isolation requirements, and delivery-blocking conditions.</w:t>
      </w:r>
    </w:p>
    <w:p>
      <w:pPr>
        <w:pStyle w:val="ListBullet"/>
      </w:pPr>
      <w:r>
        <w:t>Provenance linking every emitted requirement to human input, a selected blueprint, a reusable capability contract, or a governed compiler decision.</w:t>
      </w:r>
    </w:p>
    <w:p>
      <w:pPr/>
      <w:r>
        <w:t>Current construction models should be treated as builders of a resolved, bounded projection rather than as native interpreters of a multidimensional runtime model. If the source architecture contains multiple owners, people, applications, languages, styles, permissions, and time-dependent variants, the compiler must preserve that richer model internally and emit the explicit flat construction views required by the target LLM. Asking the model to reconstruct recursive context implicitly can produce complex conditional code, inconsistent overrides, context leakage, and incomplete Administration behavior.</w:t>
      </w:r>
    </w:p>
    <w:p>
      <w:pPr>
        <w:pStyle w:val="Heading1"/>
        <w:keepNext/>
      </w:pPr>
      <w:r>
        <w:t>10. Enterprise Context and Blueprint Resolution</w:t>
      </w:r>
    </w:p>
    <w:p>
      <w:pPr/>
      <w:r>
        <w:t>A domain label is not enough to select an architecture. “Manufacturer” may refer to a small lacquer workshop, a single-site factory, or a global automotive enterprise comparable in scale to Ford or General Motors. These organizations do not require larger and smaller versions of the same CRUD application; they have different operating models, capability boundaries, authority structures, integrations, data volumes, continuity requirements, and regulatory exposure.</w:t>
      </w:r>
    </w:p>
    <w:p>
      <w:pPr/>
      <w:r>
        <w:t>The compiler therefore requires an enterprise-context layer above the detailed software specification. Company names may serve as semantic anchors, but explicit characteristics are authoritative. The compiler should record organization archetype, industry, scale, divisions, locations, user population, transaction volume, availability class, deployment reach, regulatory exposure, integration landscape, and operational criticality.</w:t>
      </w:r>
    </w:p>
    <w:p>
      <w:pPr/>
      <w:r>
        <w:t>That context drives deterministic blueprint selection. A global automotive manufacturer blueprint may require multi-plant production, product lifecycle management, bills of materials, engineering change, manufacturing execution, supplier qualification, traceability, quality incidents, logistics, dealer distribution, warranty, segregation of duties, enterprise integration, disaster recovery, and regional governance. A small workshop blueprint may require customers, products, materials, stock, orders, invoices, and a few local users. The script must explicitly reject incompatible blueprint classes rather than leave scale interpretation to the LLM.</w:t>
      </w:r>
    </w:p>
    <w:p>
      <w:pPr/>
      <w:r>
        <w:t>Blueprints should be vendor-neutral, introspectable definitions assembled from reusable capability contracts. Public standards, government guidance, open-source systems, academic research, and published vendor reference architectures may inform them, subject to provenance and licensing controls. The compiler normalizes those findings into original semantic definitions instead of copying proprietary diagrams or implementations.</w:t>
      </w:r>
    </w:p>
    <w:p>
      <w:pPr/>
      <w:r>
        <w:t>When no compatible blueprint exists, a governed synthesis convention should create a candidate by extending the nearest compatible foundations, declaring applicability and exclusions, evaluating a common capability taxonomy, linking needs and offers, identifying unresolved requirements, and recording evidence and confidence. A candidate progresses through explicit maturity states—draft, researched, semantically valid, human reviewed, experimentally verified, and production reference. Uncertainty must never be hidden behind a false validation pass.</w:t>
      </w:r>
    </w:p>
    <w:p>
      <w:pPr>
        <w:pStyle w:val="LeadCallout"/>
        <w:keepLines/>
      </w:pPr>
      <w:r>
        <w:t>Reuse when compatible, specialize when sufficient, synthesize when absent, and never conceal uncertainty.</w:t>
      </w:r>
    </w:p>
    <w:p>
      <w:pPr>
        <w:pStyle w:val="Heading2"/>
      </w:pPr>
      <w:r>
        <w:t>10.1 Public and authorized blueprint sources</w:t>
      </w:r>
    </w:p>
    <w:p>
      <w:pPr/>
      <w:r>
        <w:t>Candidate blueprint knowledge may come from industry reference architectures, open-source modules, BPMN workflows, ERP schemas, APIs, regulations, database structures, tests, and organization-authorized legacy applications. Material that is publicly accessible is not necessarily in the legal public domain; source authority, version, license, permitted use, attribution, retrieval date, and integrity should accompany every imported artifact.</w:t>
      </w:r>
    </w:p>
    <w:p>
      <w:pPr/>
      <w:r>
        <w:t>Specialized ingestion, introspection, and normalization adapters convert source artifacts into candidate hierarchical blueprints. Validation distinguishes explicit evidence from inference, detects contradictions and missing relationships, and requires appropriate architect or subject-matter confirmation before a candidate becomes an authoritative reusable revision.</w:t>
      </w:r>
    </w:p>
    <w:p>
      <w:pPr>
        <w:pStyle w:val="Heading1"/>
        <w:keepNext/>
      </w:pPr>
      <w:r>
        <w:t>11. A Workbench for Forward Deployed Engineers</w:t>
      </w:r>
    </w:p>
    <w:p>
      <w:pPr/>
      <w:r>
        <w:t>Forward Deployed Engineers (FDEs) operate at the boundary between customers, subject-matter experts, product teams, deployment environments, and implementation teams. Their central challenge is often not code generation alone. It is translating incomplete customer language into software that fits the customer’s real organization, workflows, authority, data, infrastructure, integrations, and operating constraints. This is the same semantic boundary addressed by the compiler.</w:t>
      </w:r>
    </w:p>
    <w:p>
      <w:pPr>
        <w:jc w:val="center"/>
      </w:pPr>
      <w:r>
        <w:drawing>
          <wp:inline xmlns:a="http://schemas.openxmlformats.org/drawingml/2006/main" xmlns:pic="http://schemas.openxmlformats.org/drawingml/2006/picture">
            <wp:extent cx="5806440" cy="3585583"/>
            <wp:docPr id="1" name="Picture 1" title="FDE context and blueprint feedback loop" descr="Customer and FDE discovery flows through canonical context and blueprint resolution into a bounded LLM build package; verified field feedback returns to improve reusable knowledge."/>
            <wp:cNvGraphicFramePr>
              <a:graphicFrameLocks noChangeAspect="1"/>
            </wp:cNvGraphicFramePr>
            <a:graphic>
              <a:graphicData uri="http://schemas.openxmlformats.org/drawingml/2006/picture">
                <pic:pic>
                  <pic:nvPicPr>
                    <pic:cNvPr id="0" name="llm-compiler-context-fde-v05.png"/>
                    <pic:cNvPicPr/>
                  </pic:nvPicPr>
                  <pic:blipFill>
                    <a:blip r:embed="rId11"/>
                    <a:stretch>
                      <a:fillRect/>
                    </a:stretch>
                  </pic:blipFill>
                  <pic:spPr>
                    <a:xfrm>
                      <a:off x="0" y="0"/>
                      <a:ext cx="5806440" cy="3585583"/>
                    </a:xfrm>
                    <a:prstGeom prst="rect"/>
                  </pic:spPr>
                </pic:pic>
              </a:graphicData>
            </a:graphic>
          </wp:inline>
        </w:drawing>
      </w:r>
    </w:p>
    <w:p>
      <w:pPr>
        <w:pStyle w:val="Caption"/>
        <w:keepNext/>
        <w:jc w:val="center"/>
      </w:pPr>
      <w:r>
        <w:t>Figure 6. Context-preserving FDE workflow.</w:t>
      </w:r>
    </w:p>
    <w:p>
      <w:pPr/>
      <w:r>
        <w:t>The proposed workbench allows an FDE to conduct structured discovery, classify the organization, select or synthesize a blueprint, capture customer-specific rules, map legacy systems and integrations, expose unresolved gaps, generate architecture graphs, create an LLM construction package, and retain implementation findings as versioned evidence. The project can be reconstructed later without depending on the FDE’s memory or the survival of a particular conversation thread.</w:t>
      </w:r>
    </w:p>
    <w:p>
      <w:pPr>
        <w:pStyle w:val="ListBullet"/>
      </w:pPr>
      <w:r>
        <w:t>Requirements scattered across meetings become one canonical contextual specification.</w:t>
      </w:r>
    </w:p>
    <w:p>
      <w:pPr>
        <w:pStyle w:val="ListBullet"/>
      </w:pPr>
      <w:r>
        <w:t>Customer terminology is mapped to stable semantic vocabulary without erasing local meaning.</w:t>
      </w:r>
    </w:p>
    <w:p>
      <w:pPr>
        <w:pStyle w:val="ListBullet"/>
      </w:pPr>
      <w:r>
        <w:t>Implicit assumptions become explicit constraints, exclusions, questions, and acceptance tests.</w:t>
      </w:r>
    </w:p>
    <w:p>
      <w:pPr>
        <w:pStyle w:val="ListBullet"/>
      </w:pPr>
      <w:r>
        <w:t>Organization scale selects the correct blueprint before implementation begins.</w:t>
      </w:r>
    </w:p>
    <w:p>
      <w:pPr>
        <w:pStyle w:val="ListBullet"/>
      </w:pPr>
      <w:r>
        <w:t>Architecture diagrams and documents are regenerated from the current model rather than maintained separately.</w:t>
      </w:r>
    </w:p>
    <w:p>
      <w:pPr>
        <w:pStyle w:val="ListBullet"/>
      </w:pPr>
      <w:r>
        <w:t>Field changes trigger bounded impact analysis instead of uncontrolled specification drift.</w:t>
      </w:r>
    </w:p>
    <w:p>
      <w:pPr>
        <w:pStyle w:val="ListBullet"/>
      </w:pPr>
      <w:r>
        <w:t>Handoffs to product teams, developers, or different LLMs retain customer intent and provenance.</w:t>
      </w:r>
    </w:p>
    <w:p>
      <w:pPr>
        <w:pStyle w:val="ListBullet"/>
      </w:pPr>
      <w:r>
        <w:t>Reusable discoveries can become reviewed capability or blueprint extensions instead of remaining buried in custom code.</w:t>
      </w:r>
    </w:p>
    <w:p>
      <w:pPr/>
      <w:r>
        <w:t>The compiler does not replace the FDE. Customer trust, organizational judgment, legacy-system inspection, deployment adaptation, security coordination, and validation of real outcomes remain human responsibilities. The compiler makes that expertise durable, inspectable, transferable, and reusable.</w:t>
      </w:r>
    </w:p>
    <w:p>
      <w:pPr/>
      <w:r>
        <w:t>Field-to-product learning should also be governed. When a customer declares a need that the selected blueprint cannot satisfy, the tool records a capability gap. The FDE may propose a customer-specific extension; after implementation and verification, product architects decide whether it remains local or becomes a reusable catalog capability. LLM suggestions are candidate knowledge, not automatic business truth.</w:t>
      </w:r>
    </w:p>
    <w:p>
      <w:pPr>
        <w:pStyle w:val="LeadCallout"/>
        <w:keepLines/>
      </w:pPr>
      <w:r>
        <w:t>For FDEs, the compiler is a context-engineering and architecture workbench: it converts field discovery into validated software meaning that customers, engineering teams, and LLMs can act upon.</w:t>
      </w:r>
    </w:p>
    <w:p>
      <w:pPr>
        <w:pStyle w:val="Heading1"/>
      </w:pPr>
      <w:r>
        <w:t>12. Value to Software Architects</w:t>
      </w:r>
    </w:p>
    <w:p>
      <w:pPr>
        <w:pStyle w:val="ListBullet"/>
        <w:spacing w:after="80" w:line="290" w:lineRule="auto"/>
      </w:pPr>
      <w:r>
        <w:t>Architectural intent becomes a versioned semantic artifact instead of disappearing into prompts or generated code.</w:t>
      </w:r>
    </w:p>
    <w:p>
      <w:pPr>
        <w:pStyle w:val="ListBullet"/>
        <w:spacing w:after="80" w:line="290" w:lineRule="auto"/>
      </w:pPr>
      <w:r>
        <w:t>Cross-cutting rules can be defined once and inherited consistently across applications.</w:t>
      </w:r>
    </w:p>
    <w:p>
      <w:pPr>
        <w:pStyle w:val="ListBullet"/>
        <w:spacing w:after="80" w:line="290" w:lineRule="auto"/>
      </w:pPr>
      <w:r>
        <w:t>Dependency and contradiction diagnostics occur before expensive code generation.</w:t>
      </w:r>
    </w:p>
    <w:p>
      <w:pPr>
        <w:pStyle w:val="ListBullet"/>
        <w:spacing w:after="80" w:line="290" w:lineRule="auto"/>
      </w:pPr>
      <w:r>
        <w:t>Multiple LLM implementations can be compared against one architecture contract.</w:t>
      </w:r>
    </w:p>
    <w:p>
      <w:pPr>
        <w:pStyle w:val="ListBullet"/>
        <w:spacing w:after="80" w:line="290" w:lineRule="auto"/>
      </w:pPr>
      <w:r>
        <w:t>Application topology, state ownership, governance, and acceptance boundaries remain traceable.</w:t>
      </w:r>
    </w:p>
    <w:p>
      <w:pPr>
        <w:pStyle w:val="ListBullet"/>
        <w:spacing w:after="80" w:line="290" w:lineRule="auto"/>
      </w:pPr>
      <w:r>
        <w:t>Proprietary reasoning can remain private while observable contracts are portable.</w:t>
      </w:r>
    </w:p>
    <w:p>
      <w:pPr>
        <w:pStyle w:val="Heading1"/>
      </w:pPr>
      <w:r>
        <w:t>13. Value to Software Developers</w:t>
      </w:r>
    </w:p>
    <w:p>
      <w:pPr>
        <w:pStyle w:val="ListBullet"/>
        <w:spacing w:after="80" w:line="290" w:lineRule="auto"/>
      </w:pPr>
      <w:r>
        <w:t>Smaller, cleaner model inputs reduce time spent restating context and correcting drift.</w:t>
      </w:r>
    </w:p>
    <w:p>
      <w:pPr>
        <w:pStyle w:val="ListBullet"/>
        <w:spacing w:after="80" w:line="290" w:lineRule="auto"/>
      </w:pPr>
      <w:r>
        <w:t>Compiler diagnostics identify missing symbols and relationships at the specification level.</w:t>
      </w:r>
    </w:p>
    <w:p>
      <w:pPr>
        <w:pStyle w:val="ListBullet"/>
        <w:spacing w:after="80" w:line="290" w:lineRule="auto"/>
      </w:pPr>
      <w:r>
        <w:t>Generated code is easier to review because every major behavior traces to a token or AST node.</w:t>
      </w:r>
    </w:p>
    <w:p>
      <w:pPr>
        <w:pStyle w:val="ListBullet"/>
        <w:spacing w:after="80" w:line="290" w:lineRule="auto"/>
      </w:pPr>
      <w:r>
        <w:t>Developers can change target language or LLM while retaining the same semantic specification.</w:t>
      </w:r>
    </w:p>
    <w:p>
      <w:pPr>
        <w:pStyle w:val="ListBullet"/>
        <w:spacing w:after="80" w:line="290" w:lineRule="auto"/>
      </w:pPr>
      <w:r>
        <w:t>Acceptance requirements travel with the feature rather than being added after implementation.</w:t>
      </w:r>
    </w:p>
    <w:p>
      <w:pPr>
        <w:pStyle w:val="ListBullet"/>
        <w:spacing w:after="80" w:line="290" w:lineRule="auto"/>
      </w:pPr>
      <w:r>
        <w:t>Human effort shifts from repetitive prompt construction to explicit architecture decisions and verification.</w:t>
      </w:r>
    </w:p>
    <w:p>
      <w:pPr>
        <w:pStyle w:val="Heading1"/>
      </w:pPr>
      <w:r>
        <w:t>14. Intellectual-Property Boundary</w:t>
      </w:r>
    </w:p>
    <w:p>
      <w:r>
        <w:t>The prototype’s internal repository intelligence, internal selection algorithms, compatibility decisions, private prompts, owner-specific private context, and generation heuristics need not be disclosed to an external LLM. The compiler exports the current effective application snapshot: public contracts, required behavior, relationships, topology, state transitions, constraints, and acceptance scenarios.</w:t>
      </w:r>
    </w:p>
    <w:p>
      <w:r>
        <w:t>Dictionary entries require classification. Public semantic contracts may be included in portable output. Proprietary implementation logic may remain inside prototype and be represented externally only by observable inputs, outputs, guarantees, and tests. A compilation policy should reject any export that crosses its assigned disclosure boundary.</w:t>
      </w:r>
    </w:p>
    <w:p>
      <w:pPr>
        <w:pStyle w:val="Heading2"/>
      </w:pPr>
      <w:r>
        <w:t>14.1 Publication and ecosystem options</w:t>
      </w:r>
    </w:p>
    <w:p>
      <w:pPr/>
      <w:r>
        <w:t>A future public interoperability convention could enable organizations and developers to author reusable, hierarchical software blueprints and produce compatible specifications for multiple coding agents. Adoption would require precise schemas, versioning, namespaces, extension rules, reference examples, conformance fixtures, and governance. Publication is a strategic option, not a technical requirement.</w:t>
      </w:r>
    </w:p>
    <w:p>
      <w:pPr/>
      <w:r>
        <w:t>An implementation may expose portable contracts, observable behavior, relationships, state transitions, constraints, acceptance scenarios, guarantees, and tests while retaining private repository intelligence, selection algorithms, prompts, compatibility heuristics, and proprietary implementation methods. Organizations should establish intellectual-property and disclosure strategy before releasing enabling technical details.</w:t>
      </w:r>
    </w:p>
    <w:p>
      <w:pPr>
        <w:pStyle w:val="Heading1"/>
      </w:pPr>
      <w:r>
        <w:t>15. Risks and Limitations</w:t>
      </w:r>
    </w:p>
    <w:tbl>
      <w:tblPr>
        <w:tblW w:type="dxa" w:w="9360"/>
        <w:tblLayout w:type="fixed"/>
        <w:tblLook w:firstColumn="1" w:firstRow="1" w:lastColumn="0" w:lastRow="0" w:noHBand="0" w:noVBand="1" w:val="04A0"/>
        <w:jc w:val="left"/>
        <w:tblInd w:w="120" w:type="dxa"/>
      </w:tblPr>
      <w:tblGrid>
        <w:gridCol w:w="1900"/>
        <w:gridCol w:w="3500"/>
        <w:gridCol w:w="3960"/>
      </w:tblGrid>
      <w:tr>
        <w:trPr>
          <w:cantSplit/>
        </w:trPr>
        <w:tc>
          <w:tcPr>
            <w:tcW w:type="dxa" w:w="190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Risk</w:t>
            </w:r>
          </w:p>
        </w:tc>
        <w:tc>
          <w:tcPr>
            <w:tcW w:type="dxa" w:w="350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Implication</w:t>
            </w:r>
          </w:p>
        </w:tc>
        <w:tc>
          <w:tcPr>
            <w:tcW w:type="dxa" w:w="396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Mitigation</w:t>
            </w:r>
          </w:p>
        </w:tc>
      </w:tr>
      <w:tr>
        <w:trPr>
          <w:cantSplit/>
        </w:trPr>
        <w:tc>
          <w:tcPr>
            <w:tcW w:type="dxa" w:w="19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Over-compression</w:t>
            </w:r>
          </w:p>
        </w:tc>
        <w:tc>
          <w:tcPr>
            <w:tcW w:type="dxa" w:w="3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Opaque codes may reduce LLM comprehension despite fewer characters</w:t>
            </w:r>
          </w:p>
        </w:tc>
        <w:tc>
          <w:tcPr>
            <w:tcW w:type="dxa" w:w="39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Preserve meaningful identifiers; measure actual model tokens and output quality</w:t>
            </w:r>
          </w:p>
        </w:tc>
      </w:tr>
      <w:tr>
        <w:trPr>
          <w:cantSplit/>
        </w:trPr>
        <w:tc>
          <w:tcPr>
            <w:tcW w:type="dxa" w:w="19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Dictionary drift</w:t>
            </w:r>
          </w:p>
        </w:tc>
        <w:tc>
          <w:tcPr>
            <w:tcW w:type="dxa" w:w="3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The same token could acquire different meaning over time</w:t>
            </w:r>
          </w:p>
        </w:tc>
        <w:tc>
          <w:tcPr>
            <w:tcW w:type="dxa" w:w="39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Immutable versions and content hashes</w:t>
            </w:r>
          </w:p>
        </w:tc>
      </w:tr>
      <w:tr>
        <w:trPr>
          <w:cantSplit/>
        </w:trPr>
        <w:tc>
          <w:tcPr>
            <w:tcW w:type="dxa" w:w="19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Incomplete canonical token</w:t>
            </w:r>
          </w:p>
        </w:tc>
        <w:tc>
          <w:tcPr>
            <w:tcW w:type="dxa" w:w="3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Compiler cannot invent missing business semantics safely</w:t>
            </w:r>
          </w:p>
        </w:tc>
        <w:tc>
          <w:tcPr>
            <w:tcW w:type="dxa" w:w="39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Fail compilation or create an explicitly governed Variant</w:t>
            </w:r>
          </w:p>
        </w:tc>
      </w:tr>
      <w:tr>
        <w:trPr>
          <w:cantSplit/>
        </w:trPr>
        <w:tc>
          <w:tcPr>
            <w:tcW w:type="dxa" w:w="19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False semantic equivalence</w:t>
            </w:r>
          </w:p>
        </w:tc>
        <w:tc>
          <w:tcPr>
            <w:tcW w:type="dxa" w:w="3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Aggressive deduplication may merge subtly different rules</w:t>
            </w:r>
          </w:p>
        </w:tc>
        <w:tc>
          <w:tcPr>
            <w:tcW w:type="dxa" w:w="39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Typed scopes, provenance, equivalence tests</w:t>
            </w:r>
          </w:p>
        </w:tc>
      </w:tr>
      <w:tr>
        <w:trPr>
          <w:cantSplit/>
        </w:trPr>
        <w:tc>
          <w:tcPr>
            <w:tcW w:type="dxa" w:w="19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Model-specific optimization</w:t>
            </w:r>
          </w:p>
        </w:tc>
        <w:tc>
          <w:tcPr>
            <w:tcW w:type="dxa" w:w="3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A format tuned to one model may underperform on another</w:t>
            </w:r>
          </w:p>
        </w:tc>
        <w:tc>
          <w:tcPr>
            <w:tcW w:type="dxa" w:w="39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Maintain model-neutral IR and test multiple emitters</w:t>
            </w:r>
          </w:p>
        </w:tc>
      </w:tr>
      <w:tr>
        <w:trPr>
          <w:cantSplit/>
        </w:trPr>
        <w:tc>
          <w:tcPr>
            <w:tcW w:type="dxa" w:w="19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Validation overclaim</w:t>
            </w:r>
          </w:p>
        </w:tc>
        <w:tc>
          <w:tcPr>
            <w:tcW w:type="dxa" w:w="3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Structural validity does not prove business correctness</w:t>
            </w:r>
          </w:p>
        </w:tc>
        <w:tc>
          <w:tcPr>
            <w:tcW w:type="dxa" w:w="39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Layer structural, API, persistence, browser, and domain acceptance tests</w:t>
            </w:r>
          </w:p>
        </w:tc>
      </w:tr>
      <w:tr>
        <w:trPr>
          <w:cantSplit/>
        </w:trPr>
        <w:tc>
          <w:tcPr>
            <w:tcW w:type="dxa" w:w="19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Novelty overstatement</w:t>
            </w:r>
          </w:p>
        </w:tc>
        <w:tc>
          <w:tcPr>
            <w:tcW w:type="dxa" w:w="3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Underlying compiler techniques are established</w:t>
            </w:r>
          </w:p>
        </w:tc>
        <w:tc>
          <w:tcPr>
            <w:tcW w:type="dxa" w:w="39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Claim the integrated method and demonstrated application, subject to prior-art review</w:t>
            </w:r>
          </w:p>
        </w:tc>
      </w:tr>
    </w:tbl>
    <w:p>
      <w:pPr>
        <w:spacing w:after="20"/>
      </w:pPr>
    </w:p>
    <w:p>
      <w:pPr>
        <w:pStyle w:val="Heading1"/>
      </w:pPr>
      <w:r>
        <w:t>16. Experimental Program</w:t>
      </w:r>
    </w:p>
    <w:p>
      <w:r>
        <w:t>The experimental program should compare three controlled specification forms using the same representative business application and acceptance suite:</w:t>
      </w:r>
    </w:p>
    <w:tbl>
      <w:tblPr>
        <w:tblW w:type="dxa" w:w="9360"/>
        <w:tblLayout w:type="fixed"/>
        <w:tblLook w:firstColumn="1" w:firstRow="1" w:lastColumn="0" w:lastRow="0" w:noHBand="0" w:noVBand="1" w:val="04A0"/>
        <w:jc w:val="left"/>
        <w:tblInd w:w="120" w:type="dxa"/>
      </w:tblPr>
      <w:tblGrid>
        <w:gridCol w:w="1500"/>
        <w:gridCol w:w="3500"/>
        <w:gridCol w:w="4360"/>
      </w:tblGrid>
      <w:tr>
        <w:trPr>
          <w:cantSplit/>
        </w:trPr>
        <w:tc>
          <w:tcPr>
            <w:tcW w:type="dxa" w:w="150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Test</w:t>
            </w:r>
          </w:p>
        </w:tc>
        <w:tc>
          <w:tcPr>
            <w:tcW w:type="dxa" w:w="350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Input</w:t>
            </w:r>
          </w:p>
        </w:tc>
        <w:tc>
          <w:tcPr>
            <w:tcW w:type="dxa" w:w="4360"/>
            <w:vAlign w:val="center"/>
            <w:tcBorders>
              <w:top w:val="single" w:sz="4" w:color="D8DEE5"/>
              <w:left w:val="single" w:sz="4" w:color="D8DEE5"/>
              <w:bottom w:val="single" w:sz="4" w:color="D8DEE5"/>
              <w:right w:val="single" w:sz="4" w:color="D8DEE5"/>
              <w:insideH w:val="single" w:sz="4" w:color="D8DEE5"/>
              <w:insideV w:val="single" w:sz="4" w:color="D8DEE5"/>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op w:w="60" w:type="dxa"/>
              <w:bottom w:w="60" w:type="dxa"/>
              <w:start w:w="120" w:type="dxa"/>
              <w:end w:w="120" w:type="dxa"/>
            </w:tcMar>
            <w:shd w:fill="E8EEF5"/>
          </w:tcPr>
          <w:p>
            <w:pPr>
              <w:spacing w:after="0"/>
            </w:pPr>
            <w:r>
              <w:rPr>
                <w:b/>
                <w:color w:val="203748"/>
                <w:sz w:val="17"/>
              </w:rPr>
              <w:t>Purpose</w:t>
            </w:r>
          </w:p>
        </w:tc>
      </w:tr>
      <w:tr>
        <w:trPr>
          <w:cantSplit/>
        </w:trPr>
        <w:tc>
          <w:tcPr>
            <w:tcW w:type="dxa" w:w="1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Baseline A</w:t>
            </w:r>
          </w:p>
        </w:tc>
        <w:tc>
          <w:tcPr>
            <w:tcW w:type="dxa" w:w="3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Original flat script</w:t>
            </w:r>
          </w:p>
        </w:tc>
        <w:tc>
          <w:tcPr>
            <w:tcW w:type="dxa" w:w="43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Measure inference burden and omission rate</w:t>
            </w:r>
          </w:p>
        </w:tc>
      </w:tr>
      <w:tr>
        <w:trPr>
          <w:cantSplit/>
        </w:trPr>
        <w:tc>
          <w:tcPr>
            <w:tcW w:type="dxa" w:w="1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Baseline B</w:t>
            </w:r>
          </w:p>
        </w:tc>
        <w:tc>
          <w:tcPr>
            <w:tcW w:type="dxa" w:w="3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Full validated Hierarchy Script</w:t>
            </w:r>
          </w:p>
        </w:tc>
        <w:tc>
          <w:tcPr>
            <w:tcW w:type="dxa" w:w="43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Measure semantic fidelity before compression</w:t>
            </w:r>
          </w:p>
        </w:tc>
      </w:tr>
      <w:tr>
        <w:trPr>
          <w:cantSplit/>
        </w:trPr>
        <w:tc>
          <w:tcPr>
            <w:tcW w:type="dxa" w:w="1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Experiment C</w:t>
            </w:r>
          </w:p>
        </w:tc>
        <w:tc>
          <w:tcPr>
            <w:tcW w:type="dxa" w:w="350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Compiled Token Manifest plus reachable dictionary subset</w:t>
            </w:r>
          </w:p>
        </w:tc>
        <w:tc>
          <w:tcPr>
            <w:tcW w:type="dxa" w:w="4360"/>
            <w:vAlign w:val="center"/>
            <w:tcBorders>
              <w:top w:val="single" w:sz="4" w:color="D8DEE5"/>
              <w:left w:val="single" w:sz="4" w:color="D8DEE5"/>
              <w:bottom w:val="single" w:sz="4" w:color="D8DEE5"/>
              <w:right w:val="single" w:sz="4" w:color="D8DEE5"/>
              <w:insideH w:val="single" w:sz="4" w:color="D8DEE5"/>
              <w:insideV w:val="single" w:sz="4" w:color="D8DEE5"/>
            </w:tcBorders>
            <w:tcMar>
              <w:top w:w="60" w:type="dxa"/>
              <w:bottom w:w="60" w:type="dxa"/>
              <w:start w:w="120" w:type="dxa"/>
              <w:end w:w="120" w:type="dxa"/>
            </w:tcMar>
          </w:tcPr>
          <w:p>
            <w:pPr>
              <w:spacing w:after="0" w:line="240" w:lineRule="auto"/>
            </w:pPr>
            <w:r>
              <w:rPr>
                <w:sz w:val="17"/>
              </w:rPr>
              <w:t>Measure preserved quality with reduced size and stronger diagnostics</w:t>
            </w:r>
          </w:p>
        </w:tc>
      </w:tr>
    </w:tbl>
    <w:p>
      <w:pPr>
        <w:spacing w:after="20"/>
      </w:pPr>
    </w:p>
    <w:p>
      <w:r>
        <w:t>Each input should be sent independently to multiple LLM families. Every model should receive the same delivery instructions, runtime target, and acceptance suite.</w:t>
      </w:r>
    </w:p>
    <w:p>
      <w:r>
        <w:t>Measurements:</w:t>
      </w:r>
    </w:p>
    <w:p>
      <w:pPr>
        <w:pStyle w:val="ListBullet"/>
        <w:spacing w:after="80" w:line="290" w:lineRule="auto"/>
      </w:pPr>
      <w:r>
        <w:t>Input bytes, characters, and actual model-token count.</w:t>
      </w:r>
    </w:p>
    <w:p>
      <w:pPr>
        <w:pStyle w:val="ListBullet"/>
        <w:spacing w:after="80" w:line="290" w:lineRule="auto"/>
      </w:pPr>
      <w:r>
        <w:t>Generation time and number of model turns.</w:t>
      </w:r>
    </w:p>
    <w:p>
      <w:pPr>
        <w:pStyle w:val="ListBullet"/>
        <w:spacing w:after="80" w:line="290" w:lineRule="auto"/>
      </w:pPr>
      <w:r>
        <w:t>Entity, field, and relationship fidelity.</w:t>
      </w:r>
    </w:p>
    <w:p>
      <w:pPr>
        <w:pStyle w:val="ListBullet"/>
        <w:spacing w:after="80" w:line="290" w:lineRule="auto"/>
      </w:pPr>
      <w:r>
        <w:t>Workflow and topology fidelity, including menu order and stable routes.</w:t>
      </w:r>
    </w:p>
    <w:p>
      <w:pPr>
        <w:pStyle w:val="ListBullet"/>
        <w:spacing w:after="80" w:line="290" w:lineRule="auto"/>
      </w:pPr>
      <w:r>
        <w:t>Runtime Administration: visible UI effect, API enforcement, restart persistence, and recovery.</w:t>
      </w:r>
    </w:p>
    <w:p>
      <w:pPr>
        <w:pStyle w:val="ListBullet"/>
        <w:spacing w:after="80" w:line="290" w:lineRule="auto"/>
      </w:pPr>
      <w:r>
        <w:t>Stale, invented, unreachable, or contradictory artifacts.</w:t>
      </w:r>
    </w:p>
    <w:p>
      <w:pPr>
        <w:pStyle w:val="ListBullet"/>
        <w:spacing w:after="80" w:line="290" w:lineRule="auto"/>
      </w:pPr>
      <w:r>
        <w:t>Compilation success, application startup, automated test results, and reproducibility.</w:t>
      </w:r>
    </w:p>
    <w:p>
      <w:pPr>
        <w:pStyle w:val="ListBullet"/>
        <w:spacing w:after="80" w:line="290" w:lineRule="auto"/>
      </w:pPr>
      <w:r>
        <w:t>Human corrections, their severity, and time required.</w:t>
      </w:r>
    </w:p>
    <w:p>
      <w:pPr>
        <w:pStyle w:val="ListBullet"/>
        <w:spacing w:after="80" w:line="290" w:lineRule="auto"/>
      </w:pPr>
      <w:r>
        <w:t>Consistency across repeated runs and across model vendors.</w:t>
      </w:r>
    </w:p>
    <w:p>
      <w:pPr>
        <w:pStyle w:val="Heading1"/>
      </w:pPr>
      <w:r>
        <w:t>17. Proposed Success Criteria</w:t>
      </w:r>
    </w:p>
    <w:p>
      <w:r>
        <w:t>The Tokenized Script Engine should be considered successful only if it reduces input size without materially reducing semantic fidelity. A preliminary target is:</w:t>
      </w:r>
    </w:p>
    <w:p>
      <w:pPr>
        <w:pStyle w:val="ListBullet"/>
        <w:spacing w:after="80" w:line="290" w:lineRule="auto"/>
      </w:pPr>
      <w:r>
        <w:t>At least 40 percent reduction in external model tokens versus the full hierarchy.</w:t>
      </w:r>
    </w:p>
    <w:p>
      <w:pPr>
        <w:pStyle w:val="ListBullet"/>
        <w:spacing w:after="80" w:line="290" w:lineRule="auto"/>
      </w:pPr>
      <w:r>
        <w:t>No loss of required entities, relationships, workflows, topology modules, governance behavior, or acceptance boundaries.</w:t>
      </w:r>
    </w:p>
    <w:p>
      <w:pPr>
        <w:pStyle w:val="ListBullet"/>
        <w:spacing w:after="80" w:line="290" w:lineRule="auto"/>
      </w:pPr>
      <w:r>
        <w:t>Zero unresolved symbols and zero dangling flow, state, relationship, or topology references.</w:t>
      </w:r>
    </w:p>
    <w:p>
      <w:pPr>
        <w:pStyle w:val="ListBullet"/>
        <w:spacing w:after="80" w:line="290" w:lineRule="auto"/>
      </w:pPr>
      <w:r>
        <w:t>No irrelevant domain artifacts in emitted portable output.</w:t>
      </w:r>
    </w:p>
    <w:p>
      <w:pPr>
        <w:pStyle w:val="ListBullet"/>
        <w:spacing w:after="80" w:line="290" w:lineRule="auto"/>
      </w:pPr>
      <w:r>
        <w:t>Equivalent or improved first-pass implementation quality across at least two independent LLM families.</w:t>
      </w:r>
    </w:p>
    <w:p>
      <w:pPr>
        <w:pStyle w:val="ListBullet"/>
        <w:spacing w:after="80" w:line="290" w:lineRule="auto"/>
      </w:pPr>
      <w:r>
        <w:t>A reproducible semantic-equivalence report between the full hierarchy and compiled script.</w:t>
      </w:r>
    </w:p>
    <w:p>
      <w:pPr>
        <w:pStyle w:val="Heading1"/>
      </w:pPr>
      <w:r>
        <w:t>18. Token Cost and Total Economic Efficiency</w:t>
      </w:r>
    </w:p>
    <w:p>
      <w:r>
        <w:t>A smaller input can reduce model charges, but input compression alone is not a sufficient measure of economic value. An ambiguous short script may require clarification, repair, and complete regeneration, while a somewhat larger explicit script may produce an acceptable implementation on the first attempt. The compiler should therefore optimize the total cost of reaching a correct, reproducible result rather than merely minimizing the first prompt.</w:t>
      </w:r>
    </w:p>
    <w:p>
      <w:r>
        <w:t>The total model cost for one accepted implementation can be represented as:</w:t>
      </w:r>
    </w:p>
    <w:p>
      <w:pPr>
        <w:pStyle w:val="CodeBlock"/>
      </w:pPr>
      <w:r>
        <w:t>C_total = C_initial_input + C_generated_output + C_clarification + C_repair + C_regeneration + C_verification</w:t>
      </w:r>
    </w:p>
    <w:p>
      <w:r>
        <w:t>This model includes all paid model activity associated with the task. Human effort must be measured separately because a delivery that requires developers to reconstruct files, correct package paths, repair builds, or repeat verification may be inexpensive in model tokens but costly in engineering time.</w:t>
      </w:r>
    </w:p>
    <w:p>
      <w:pPr>
        <w:pStyle w:val="Heading2"/>
      </w:pPr>
      <w:r>
        <w:t>Potential sources of savings</w:t>
      </w:r>
    </w:p>
    <w:p>
      <w:pPr>
        <w:pStyle w:val="ListBullet"/>
      </w:pPr>
      <w:r>
        <w:t>Dictionary references avoid retransmitting repeated definitions and standard patterns.</w:t>
      </w:r>
    </w:p>
    <w:p>
      <w:pPr>
        <w:pStyle w:val="ListBullet"/>
      </w:pPr>
      <w:r>
        <w:t>Reachability analysis removes inactive or irrelevant specification content.</w:t>
      </w:r>
    </w:p>
    <w:p>
      <w:pPr>
        <w:pStyle w:val="ListBullet"/>
      </w:pPr>
      <w:r>
        <w:t>Symbol, relationship, and contract validation prevents avoidable generation from an invalid specification.</w:t>
      </w:r>
    </w:p>
    <w:p>
      <w:pPr>
        <w:pStyle w:val="ListBullet"/>
      </w:pPr>
      <w:r>
        <w:t>Target-specific emitters reduce clarification and repair caused by model-specific interpretation differences.</w:t>
      </w:r>
    </w:p>
    <w:p>
      <w:pPr>
        <w:pStyle w:val="ListBullet"/>
      </w:pPr>
      <w:r>
        <w:t>Acceptance requirements reduce incomplete deliveries and unsupported claims of success.</w:t>
      </w:r>
    </w:p>
    <w:p>
      <w:pPr>
        <w:pStyle w:val="ListBullet"/>
      </w:pPr>
      <w:r>
        <w:t>Future incremental compilation could transmit only the application regions affected by a change.</w:t>
      </w:r>
    </w:p>
    <w:p>
      <w:pPr>
        <w:pStyle w:val="ListBullet"/>
      </w:pPr>
      <w:r>
        <w:t>A precise compiled specification may allow some tasks to use a smaller or less expensive capable model.</w:t>
      </w:r>
    </w:p>
    <w:p>
      <w:pPr>
        <w:pStyle w:val="Heading2"/>
      </w:pPr>
      <w:r>
        <w:t>Measurement requirements</w:t>
      </w:r>
    </w:p>
    <w:p>
      <w:r>
        <w:t>Token counts vary because model families may use different tokenization methods. Character count, byte count, and ZIP file size are useful engineering measurements, but they are not substitutes for the token count produced by the tokenizer used by the target model. Every cost comparison should record the exact model, model version, tokenizer when available, pricing source, pricing date, and currency.</w:t>
      </w:r>
    </w:p>
    <w:p>
      <w:pPr>
        <w:pStyle w:val="ListBullet"/>
      </w:pPr>
      <w:r>
        <w:t>Source hierarchy bytes, characters, and target-model input tokens.</w:t>
      </w:r>
    </w:p>
    <w:p>
      <w:pPr>
        <w:pStyle w:val="ListBullet"/>
      </w:pPr>
      <w:r>
        <w:t>Compiled script bytes, characters, and target-model input tokens.</w:t>
      </w:r>
    </w:p>
    <w:p>
      <w:pPr>
        <w:pStyle w:val="ListBullet"/>
      </w:pPr>
      <w:r>
        <w:t>Generated output tokens across every model turn.</w:t>
      </w:r>
    </w:p>
    <w:p>
      <w:pPr>
        <w:pStyle w:val="ListBullet"/>
      </w:pPr>
      <w:r>
        <w:t>Clarification, correction, repair, regeneration, and verification tokens.</w:t>
      </w:r>
    </w:p>
    <w:p>
      <w:pPr>
        <w:pStyle w:val="ListBullet"/>
      </w:pPr>
      <w:r>
        <w:t>Number of model turns and complete regeneration attempts.</w:t>
      </w:r>
    </w:p>
    <w:p>
      <w:pPr>
        <w:pStyle w:val="ListBullet"/>
      </w:pPr>
      <w:r>
        <w:t>Model generation time and elapsed time to the first runnable build.</w:t>
      </w:r>
    </w:p>
    <w:p>
      <w:pPr>
        <w:pStyle w:val="ListBullet"/>
      </w:pPr>
      <w:r>
        <w:t>Developer handling and repair time to the first acceptance-compliant build.</w:t>
      </w:r>
    </w:p>
    <w:p>
      <w:pPr>
        <w:pStyle w:val="ListBullet"/>
      </w:pPr>
      <w:r>
        <w:t>Delivery overhead, including manual file reconstruction or packaging.</w:t>
      </w:r>
    </w:p>
    <w:p>
      <w:pPr>
        <w:pStyle w:val="ListBullet"/>
      </w:pPr>
      <w:r>
        <w:t>Final acceptance status and the number and severity of unresolved requirements.</w:t>
      </w:r>
    </w:p>
    <w:p>
      <w:pPr>
        <w:pStyle w:val="Heading2"/>
      </w:pPr>
      <w:r>
        <w:t>Recommended efficiency measures</w:t>
      </w:r>
    </w:p>
    <w:p>
      <w:pPr>
        <w:pStyle w:val="CodeBlock"/>
      </w:pPr>
      <w:r>
        <w:t>Input token reduction (%) = 100 x (source input tokens - compiled input tokens) / source input tokens</w:t>
      </w:r>
    </w:p>
    <w:p>
      <w:pPr>
        <w:pStyle w:val="CodeBlock"/>
      </w:pPr>
      <w:r>
        <w:t>Total token reduction (%) = 100 x (baseline total tokens - compiled total tokens) / baseline total tokens</w:t>
      </w:r>
    </w:p>
    <w:p>
      <w:pPr>
        <w:pStyle w:val="CodeBlock"/>
      </w:pPr>
      <w:r>
        <w:t>Estimated model cost = sum of each turn's input tokens and output tokens multiplied by their applicable rates</w:t>
      </w:r>
    </w:p>
    <w:p>
      <w:r>
        <w:t>The principal economic measure should be cost per accepted implementation, accompanied by developer time to acceptance. Reported savings should be based on controlled repeated experiments and should not be generalized beyond the tested models, versions, application types, and acceptance criteria.</w:t>
      </w:r>
    </w:p>
    <w:p>
      <w:pPr>
        <w:pStyle w:val="Heading2"/>
      </w:pPr>
      <w:r>
        <w:t>Target-model capability boundary</w:t>
      </w:r>
    </w:p>
    <w:p>
      <w:pPr/>
      <w:r>
        <w:t>A compiler can remove ambiguity and lower a specification into a representation suited to a target model, but it cannot supply architectural comprehension that the model does not possess. Target-specific emission remains productive only while it translates meaning. It becomes counterproductive when the specification must teach the target basic software categories or approach source-code-level implementation instructions.</w:t>
      </w:r>
    </w:p>
    <w:p>
      <w:pPr/>
      <w:r>
        <w:t>In a September 2026 exploratory test, a DeepSeek coding workflow repeatedly interpreted a declared plain Java web application as a console program with textual output. After correction, it produced a Servlet-oriented design rather than the requested standalone browser application using plain Java HTTP serving and HTML. Repeated clarification did not restore an efficient generation workflow.</w:t>
      </w:r>
    </w:p>
    <w:p>
      <w:pPr/>
      <w:r>
        <w:t>This is a dated benchmark observation about the tested model and workflow, not a permanent judgment about the provider or future model versions. Nevertheless, developers should treat DeepSeek as experimental for complete application generation until a current trial demonstrates reliable comprehension of the required application architecture.</w:t>
      </w:r>
    </w:p>
    <w:p>
      <w:pPr>
        <w:pStyle w:val="ListBullet"/>
      </w:pPr>
      <w:r>
        <w:t>Do not expand the shared semantic specification merely to compensate for one target's inability to distinguish a console application, a Servlet deployment, and a standalone browser application.</w:t>
      </w:r>
    </w:p>
    <w:p>
      <w:pPr>
        <w:pStyle w:val="ListBullet"/>
      </w:pPr>
      <w:r>
        <w:t>Set a capability floor before testing: the model must recognize the application type, preserve the declared architecture, produce the required delivery form, and respond correctly to one concise correction.</w:t>
      </w:r>
    </w:p>
    <w:p>
      <w:pPr>
        <w:pStyle w:val="ListBullet"/>
      </w:pPr>
      <w:r>
        <w:t>Apply a stop rule: if the model still changes the fundamental architecture after one explicit correction, suspend that target rather than investing in repeated prompt repair.</w:t>
      </w:r>
    </w:p>
    <w:p>
      <w:pPr>
        <w:pStyle w:val="ListBullet"/>
      </w:pPr>
      <w:r>
        <w:t>Measure developer correction time and failed turns as part of total workflow cost; low model price or fast token generation does not imply productivity.</w:t>
      </w:r>
    </w:p>
    <w:p>
      <w:pPr>
        <w:pStyle w:val="ListBullet"/>
      </w:pPr>
      <w:r>
        <w:t>Keep an experimental target profile available for periodic retesting, but label it clearly and prevent its accommodations from increasing scripts emitted for capable models.</w:t>
      </w:r>
    </w:p>
    <w:p>
      <w:pPr/>
      <w:r>
        <w:t>The practical boundary is therefore clear: an LLM Script Compiler should compile application intent for capable implementation models. It should not become a progressively more verbose substitute for the model's missing software-engineering foundation.</w:t>
      </w:r>
    </w:p>
    <w:p>
      <w:pPr>
        <w:pStyle w:val="Heading1"/>
      </w:pPr>
      <w:r>
        <w:t>19. Research Questions</w:t>
      </w:r>
    </w:p>
    <w:p>
      <w:pPr>
        <w:pStyle w:val="ListBullet"/>
        <w:spacing w:after="80" w:line="290" w:lineRule="auto"/>
      </w:pPr>
      <w:r>
        <w:t>What token granularity best balances compactness and model comprehension?</w:t>
      </w:r>
    </w:p>
    <w:p>
      <w:pPr>
        <w:pStyle w:val="ListBullet"/>
        <w:spacing w:after="80" w:line="290" w:lineRule="auto"/>
      </w:pPr>
      <w:r>
        <w:t>Which semantic structures should remain expanded even when repeated?</w:t>
      </w:r>
    </w:p>
    <w:p>
      <w:pPr>
        <w:pStyle w:val="ListBullet"/>
        <w:spacing w:after="80" w:line="290" w:lineRule="auto"/>
      </w:pPr>
      <w:r>
        <w:t>Can one model-neutral IR serve all major LLMs, or are target-specific emitters necessary?</w:t>
      </w:r>
    </w:p>
    <w:p>
      <w:pPr>
        <w:pStyle w:val="ListBullet"/>
        <w:spacing w:after="80" w:line="290" w:lineRule="auto"/>
      </w:pPr>
      <w:r>
        <w:t>How should semantic equivalence be proved between source hierarchy and compiled manifest?</w:t>
      </w:r>
    </w:p>
    <w:p>
      <w:pPr>
        <w:pStyle w:val="ListBullet"/>
        <w:spacing w:after="80" w:line="290" w:lineRule="auto"/>
      </w:pPr>
      <w:r>
        <w:t>What compiler diagnostics most effectively prevent hallucinated architecture?</w:t>
      </w:r>
    </w:p>
    <w:p>
      <w:pPr>
        <w:pStyle w:val="ListBullet"/>
        <w:spacing w:after="80" w:line="290" w:lineRule="auto"/>
      </w:pPr>
      <w:r>
        <w:t>Can compiled manifests enable reliable incremental regeneration of only affected application regions?</w:t>
      </w:r>
    </w:p>
    <w:p>
      <w:pPr>
        <w:pStyle w:val="ListBullet"/>
        <w:spacing w:after="80" w:line="290" w:lineRule="auto"/>
      </w:pPr>
      <w:r>
        <w:t>How should runtime context changes trigger recompilation or dynamic relinking?</w:t>
      </w:r>
    </w:p>
    <w:p>
      <w:pPr>
        <w:pStyle w:val="ListBullet"/>
        <w:spacing w:after="80" w:line="290" w:lineRule="auto"/>
      </w:pPr>
      <w:r>
        <w:t>Which parts of the dictionary should be public standards and which should remain proprietary?</w:t>
      </w:r>
    </w:p>
    <w:p>
      <w:pPr>
        <w:pStyle w:val="Heading1"/>
      </w:pPr>
      <w:r>
        <w:t>20. Conclusion</w:t>
      </w:r>
    </w:p>
    <w:p>
      <w:r>
        <w:t>Structured-specification experiments indicate that self-describing capability modules and explicit typed dependencies can carry application meaning across model boundaries. Improved reconstruction fidelity and more precise defect detection support the premise that structure improves LLM software generation. Remaining verbosity and contamination problems point toward a compiler rather than another larger prompt.</w:t>
      </w:r>
    </w:p>
    <w:p>
      <w:r>
        <w:t>The proposed LLM Script Compiler converts dependency-resolved structured software architecture into a typed application AST, links it against a versioned semantic dictionary, removes unreachable and duplicated content, validates every reference and contract, protects private internals, and emits a portable program for any capable implementation model. Its practical objective is straightforward: enable software architects and developers to communicate with LLMs through precise, reusable, testable software meaning.</w:t>
      </w:r>
    </w:p>
    <w:p>
      <w:r>
        <w:t>Further evidence should come from controlled comparison. This working paper will be updated as compiled specifications are tested across independent LLM families and their successes and failures refine the compiler architecture. Future experiments should also measure context retention across long-running engagements, blueprint-selection accuracy across organization scales, FDE correction effort, field-to-product reuse, and the fidelity of bounded projections derived from richer runtime models.</w:t>
      </w:r>
    </w:p>
    <w:p>
      <w:pPr>
        <w:pStyle w:val="Heading1"/>
      </w:pPr>
      <w:r>
        <w:t>Appendix A. Illustrative Compiler Diagnostics</w:t>
      </w:r>
    </w:p>
    <w:p>
      <w:pPr>
        <w:pStyle w:val="CodeBlock"/>
        <w:shd w:fill="F1F3F5"/>
      </w:pPr>
      <w:r>
        <w:t>ERROR LSC-LINK-1004</w:t>
        <w:br/>
        <w:t>#CUSTOMER_CRM references undefined symbol #ENTITY_ORDER.</w:t>
        <w:br/>
        <w:t>Active domains: #DOMAIN_SERVICE_OPERATIONS</w:t>
        <w:br/>
        <w:t>Compilation blocked.</w:t>
      </w:r>
    </w:p>
    <w:p>
      <w:pPr>
        <w:pStyle w:val="CodeBlock"/>
        <w:shd w:fill="F1F3F5"/>
      </w:pPr>
      <w:r>
        <w:t>ERROR LSC-LINK-2007</w:t>
        <w:br/>
        <w:t>#TEAM_STAFF cites #FLOW_STAFF_SCHEDULE, but the flow is not reachable</w:t>
        <w:br/>
        <w:t>from the effective application root specification. Compilation blocked.</w:t>
      </w:r>
    </w:p>
    <w:p>
      <w:pPr>
        <w:pStyle w:val="CodeBlock"/>
        <w:shd w:fill="F1F3F5"/>
      </w:pPr>
      <w:r>
        <w:t>ERROR LSC-DOMAIN-3002</w:t>
        <w:br/>
        <w:t>#DOMAIN_FIELD_SERVICE is selected but contributes no unique operational entity,</w:t>
        <w:br/>
        <w:t>workflow, relationship, presentation surface, or acceptance scenario.</w:t>
      </w:r>
    </w:p>
    <w:p>
      <w:pPr>
        <w:spacing w:after="20"/>
      </w:pPr>
    </w:p>
    <w:p>
      <w:r/>
    </w:p>
    <w:p>
      <w:pPr>
        <w:pStyle w:val="Heading1"/>
      </w:pPr>
      <w:r>
        <w:t>Appendix B. Abbreviations and Plain-Language Glossary</w:t>
      </w:r>
    </w:p>
    <w:p>
      <w:r>
        <w:t>This glossary expands the abbreviations used in the paper and explains them in everyday language. It is intended to help readers who do not work with software architecture or artificial intelligence terminology every day.</w:t>
      </w:r>
    </w:p>
    <w:tbl>
      <w:tblPr>
        <w:tblW w:type="dxa" w:w="9360"/>
        <w:tblLayout w:type="fixed"/>
        <w:tblLook w:firstColumn="1" w:firstRow="1" w:lastColumn="0" w:lastRow="0" w:noHBand="0" w:noVBand="1" w:val="04A0"/>
      </w:tblPr>
      <w:tblGrid>
        <w:gridCol w:w="1800"/>
        <w:gridCol w:w="2600"/>
        <w:gridCol w:w="4960"/>
      </w:tblGrid>
      <w:tr>
        <w:trPr>
          <w:tblHeader w:val="true"/>
        </w:trPr>
        <w:tc>
          <w:tcPr>
            <w:tcW w:type="dxa" w:w="1800"/>
            <w:tcMar>
              <w:top w:w="110" w:type="dxa"/>
              <w:start w:w="130" w:type="dxa"/>
              <w:bottom w:w="110" w:type="dxa"/>
              <w:end w:w="130" w:type="dxa"/>
            </w:tcMar>
            <w:shd w:fill="17365D"/>
            <w:vAlign w:val="center"/>
          </w:tcPr>
          <w:p>
            <w:pPr>
              <w:spacing w:after="0"/>
            </w:pPr>
            <w:r>
              <w:rPr>
                <w:b/>
                <w:color w:val="FFFFFF"/>
              </w:rPr>
              <w:t>Abbreviation</w:t>
            </w:r>
          </w:p>
        </w:tc>
        <w:tc>
          <w:tcPr>
            <w:tcW w:type="dxa" w:w="2600"/>
            <w:tcMar>
              <w:top w:w="110" w:type="dxa"/>
              <w:start w:w="130" w:type="dxa"/>
              <w:bottom w:w="110" w:type="dxa"/>
              <w:end w:w="130" w:type="dxa"/>
            </w:tcMar>
            <w:shd w:fill="17365D"/>
            <w:vAlign w:val="center"/>
          </w:tcPr>
          <w:p>
            <w:pPr>
              <w:spacing w:after="0"/>
            </w:pPr>
            <w:r>
              <w:rPr>
                <w:b/>
                <w:color w:val="FFFFFF"/>
              </w:rPr>
              <w:t>Full term</w:t>
            </w:r>
          </w:p>
        </w:tc>
        <w:tc>
          <w:tcPr>
            <w:tcW w:type="dxa" w:w="4960"/>
            <w:tcMar>
              <w:top w:w="110" w:type="dxa"/>
              <w:start w:w="130" w:type="dxa"/>
              <w:bottom w:w="110" w:type="dxa"/>
              <w:end w:w="130" w:type="dxa"/>
            </w:tcMar>
            <w:shd w:fill="17365D"/>
            <w:vAlign w:val="center"/>
          </w:tcPr>
          <w:p>
            <w:pPr>
              <w:spacing w:after="0"/>
            </w:pPr>
            <w:r>
              <w:rPr>
                <w:b/>
                <w:color w:val="FFFFFF"/>
              </w:rPr>
              <w:t>Plain-language meaning</w:t>
            </w:r>
          </w:p>
        </w:tc>
      </w:tr>
      <w:tr>
        <w:tc>
          <w:tcPr>
            <w:tcW w:type="dxa" w:w="1800"/>
            <w:tcMar>
              <w:top w:w="110" w:type="dxa"/>
              <w:start w:w="130" w:type="dxa"/>
              <w:bottom w:w="110" w:type="dxa"/>
              <w:end w:w="130" w:type="dxa"/>
            </w:tcMar>
            <w:vAlign w:val="center"/>
          </w:tcPr>
          <w:p>
            <w:pPr>
              <w:spacing w:after="0"/>
            </w:pPr>
            <w:r>
              <w:rPr>
                <w:b/>
                <w:color w:val="17365D"/>
              </w:rPr>
              <w:t>AI</w:t>
            </w:r>
          </w:p>
        </w:tc>
        <w:tc>
          <w:tcPr>
            <w:tcW w:type="dxa" w:w="2600"/>
            <w:tcMar>
              <w:top w:w="110" w:type="dxa"/>
              <w:start w:w="130" w:type="dxa"/>
              <w:bottom w:w="110" w:type="dxa"/>
              <w:end w:w="130" w:type="dxa"/>
            </w:tcMar>
            <w:vAlign w:val="center"/>
          </w:tcPr>
          <w:p>
            <w:pPr>
              <w:spacing w:after="0"/>
            </w:pPr>
            <w:r>
              <w:t>Artificial Intelligence</w:t>
            </w:r>
          </w:p>
        </w:tc>
        <w:tc>
          <w:tcPr>
            <w:tcW w:type="dxa" w:w="4960"/>
            <w:tcMar>
              <w:top w:w="110" w:type="dxa"/>
              <w:start w:w="130" w:type="dxa"/>
              <w:bottom w:w="110" w:type="dxa"/>
              <w:end w:w="130" w:type="dxa"/>
            </w:tcMar>
            <w:vAlign w:val="center"/>
          </w:tcPr>
          <w:p>
            <w:pPr>
              <w:spacing w:after="0"/>
            </w:pPr>
            <w:r>
              <w:t>Computer systems designed to perform tasks associated with human intelligence, such as interpreting language, recognizing patterns, reasoning, or generating content.</w:t>
            </w:r>
          </w:p>
        </w:tc>
      </w:tr>
      <w:tr>
        <w:tc>
          <w:tcPr>
            <w:tcW w:type="dxa" w:w="1800"/>
            <w:tcMar>
              <w:top w:w="110" w:type="dxa"/>
              <w:start w:w="130" w:type="dxa"/>
              <w:bottom w:w="110" w:type="dxa"/>
              <w:end w:w="130" w:type="dxa"/>
            </w:tcMar>
            <w:vAlign w:val="center"/>
            <w:shd w:fill="EEF3F8"/>
          </w:tcPr>
          <w:p>
            <w:pPr>
              <w:spacing w:after="0"/>
            </w:pPr>
            <w:r>
              <w:rPr>
                <w:b/>
                <w:color w:val="17365D"/>
              </w:rPr>
              <w:t>API</w:t>
            </w:r>
          </w:p>
        </w:tc>
        <w:tc>
          <w:tcPr>
            <w:tcW w:type="dxa" w:w="2600"/>
            <w:tcMar>
              <w:top w:w="110" w:type="dxa"/>
              <w:start w:w="130" w:type="dxa"/>
              <w:bottom w:w="110" w:type="dxa"/>
              <w:end w:w="130" w:type="dxa"/>
            </w:tcMar>
            <w:vAlign w:val="center"/>
            <w:shd w:fill="EEF3F8"/>
          </w:tcPr>
          <w:p>
            <w:pPr>
              <w:spacing w:after="0"/>
            </w:pPr>
            <w:r>
              <w:t>Application Programming Interface</w:t>
            </w:r>
          </w:p>
        </w:tc>
        <w:tc>
          <w:tcPr>
            <w:tcW w:type="dxa" w:w="4960"/>
            <w:tcMar>
              <w:top w:w="110" w:type="dxa"/>
              <w:start w:w="130" w:type="dxa"/>
              <w:bottom w:w="110" w:type="dxa"/>
              <w:end w:w="130" w:type="dxa"/>
            </w:tcMar>
            <w:vAlign w:val="center"/>
            <w:shd w:fill="EEF3F8"/>
          </w:tcPr>
          <w:p>
            <w:pPr>
              <w:spacing w:after="0"/>
            </w:pPr>
            <w:r>
              <w:t>A documented way for software components or applications to exchange requests and results.</w:t>
            </w:r>
          </w:p>
        </w:tc>
      </w:tr>
      <w:tr>
        <w:tc>
          <w:tcPr>
            <w:tcW w:type="dxa" w:w="1800"/>
            <w:tcMar>
              <w:top w:w="110" w:type="dxa"/>
              <w:start w:w="130" w:type="dxa"/>
              <w:bottom w:w="110" w:type="dxa"/>
              <w:end w:w="130" w:type="dxa"/>
            </w:tcMar>
            <w:vAlign w:val="center"/>
          </w:tcPr>
          <w:p>
            <w:pPr>
              <w:spacing w:after="0"/>
            </w:pPr>
            <w:r>
              <w:rPr>
                <w:b/>
                <w:color w:val="17365D"/>
              </w:rPr>
              <w:t>AST</w:t>
            </w:r>
          </w:p>
        </w:tc>
        <w:tc>
          <w:tcPr>
            <w:tcW w:type="dxa" w:w="2600"/>
            <w:tcMar>
              <w:top w:w="110" w:type="dxa"/>
              <w:start w:w="130" w:type="dxa"/>
              <w:bottom w:w="110" w:type="dxa"/>
              <w:end w:w="130" w:type="dxa"/>
            </w:tcMar>
            <w:vAlign w:val="center"/>
          </w:tcPr>
          <w:p>
            <w:pPr>
              <w:spacing w:after="0"/>
            </w:pPr>
            <w:r>
              <w:t>Abstract Syntax Tree</w:t>
            </w:r>
          </w:p>
        </w:tc>
        <w:tc>
          <w:tcPr>
            <w:tcW w:type="dxa" w:w="4960"/>
            <w:tcMar>
              <w:top w:w="110" w:type="dxa"/>
              <w:start w:w="130" w:type="dxa"/>
              <w:bottom w:w="110" w:type="dxa"/>
              <w:end w:w="130" w:type="dxa"/>
            </w:tcMar>
            <w:vAlign w:val="center"/>
          </w:tcPr>
          <w:p>
            <w:pPr>
              <w:spacing w:after="0"/>
            </w:pPr>
            <w:r>
              <w:t>A tree-shaped representation of a specification that preserves structure and meaning instead of treating it as plain text.</w:t>
            </w:r>
          </w:p>
        </w:tc>
      </w:tr>
      <w:tr>
        <w:tc>
          <w:tcPr>
            <w:tcW w:type="dxa" w:w="1800"/>
            <w:tcMar>
              <w:top w:w="110" w:type="dxa"/>
              <w:start w:w="130" w:type="dxa"/>
              <w:bottom w:w="110" w:type="dxa"/>
              <w:end w:w="130" w:type="dxa"/>
            </w:tcMar>
            <w:vAlign w:val="center"/>
            <w:shd w:fill="EEF3F8"/>
          </w:tcPr>
          <w:p>
            <w:pPr>
              <w:spacing w:after="0"/>
            </w:pPr>
            <w:r>
              <w:rPr>
                <w:b/>
                <w:color w:val="17365D"/>
              </w:rPr>
              <w:t>CRM</w:t>
            </w:r>
          </w:p>
        </w:tc>
        <w:tc>
          <w:tcPr>
            <w:tcW w:type="dxa" w:w="2600"/>
            <w:tcMar>
              <w:top w:w="110" w:type="dxa"/>
              <w:start w:w="130" w:type="dxa"/>
              <w:bottom w:w="110" w:type="dxa"/>
              <w:end w:w="130" w:type="dxa"/>
            </w:tcMar>
            <w:vAlign w:val="center"/>
            <w:shd w:fill="EEF3F8"/>
          </w:tcPr>
          <w:p>
            <w:pPr>
              <w:spacing w:after="0"/>
            </w:pPr>
            <w:r>
              <w:t>Customer Relationship Management</w:t>
            </w:r>
          </w:p>
        </w:tc>
        <w:tc>
          <w:tcPr>
            <w:tcW w:type="dxa" w:w="4960"/>
            <w:tcMar>
              <w:top w:w="110" w:type="dxa"/>
              <w:start w:w="130" w:type="dxa"/>
              <w:bottom w:w="110" w:type="dxa"/>
              <w:end w:w="130" w:type="dxa"/>
            </w:tcMar>
            <w:vAlign w:val="center"/>
            <w:shd w:fill="EEF3F8"/>
          </w:tcPr>
          <w:p>
            <w:pPr>
              <w:spacing w:after="0"/>
            </w:pPr>
            <w:r>
              <w:t>Software and processes used to organize customer information, interactions, and related work.</w:t>
            </w:r>
          </w:p>
        </w:tc>
      </w:tr>
      <w:tr>
        <w:tc>
          <w:tcPr>
            <w:tcW w:type="dxa" w:w="1800"/>
            <w:tcMar>
              <w:top w:w="110" w:type="dxa"/>
              <w:start w:w="130" w:type="dxa"/>
              <w:bottom w:w="110" w:type="dxa"/>
              <w:end w:w="130" w:type="dxa"/>
            </w:tcMar>
            <w:vAlign w:val="center"/>
          </w:tcPr>
          <w:p>
            <w:pPr>
              <w:spacing w:after="0"/>
            </w:pPr>
            <w:r>
              <w:rPr>
                <w:b/>
                <w:color w:val="17365D"/>
              </w:rPr>
              <w:t>CRUD</w:t>
            </w:r>
          </w:p>
        </w:tc>
        <w:tc>
          <w:tcPr>
            <w:tcW w:type="dxa" w:w="2600"/>
            <w:tcMar>
              <w:top w:w="110" w:type="dxa"/>
              <w:start w:w="130" w:type="dxa"/>
              <w:bottom w:w="110" w:type="dxa"/>
              <w:end w:w="130" w:type="dxa"/>
            </w:tcMar>
            <w:vAlign w:val="center"/>
          </w:tcPr>
          <w:p>
            <w:pPr>
              <w:spacing w:after="0"/>
            </w:pPr>
            <w:r>
              <w:t>Create, Read, Update, and Delete</w:t>
            </w:r>
          </w:p>
        </w:tc>
        <w:tc>
          <w:tcPr>
            <w:tcW w:type="dxa" w:w="4960"/>
            <w:tcMar>
              <w:top w:w="110" w:type="dxa"/>
              <w:start w:w="130" w:type="dxa"/>
              <w:bottom w:w="110" w:type="dxa"/>
              <w:end w:w="130" w:type="dxa"/>
            </w:tcMar>
            <w:vAlign w:val="center"/>
          </w:tcPr>
          <w:p>
            <w:pPr>
              <w:spacing w:after="0"/>
            </w:pPr>
            <w:r>
              <w:t>The four basic operations used to add, view, change, and remove stored records.</w:t>
            </w:r>
          </w:p>
        </w:tc>
      </w:tr>
      <w:tr>
        <w:tc>
          <w:tcPr>
            <w:tcW w:type="dxa" w:w="1800"/>
            <w:tcMar>
              <w:top w:w="110" w:type="dxa"/>
              <w:start w:w="130" w:type="dxa"/>
              <w:bottom w:w="110" w:type="dxa"/>
              <w:end w:w="130" w:type="dxa"/>
            </w:tcMar>
            <w:vAlign w:val="center"/>
            <w:shd w:fill="EEF3F8"/>
          </w:tcPr>
          <w:p>
            <w:pPr>
              <w:spacing w:after="0"/>
            </w:pPr>
            <w:r>
              <w:rPr>
                <w:b/>
                <w:color w:val="17365D"/>
              </w:rPr>
              <w:t>IP</w:t>
            </w:r>
          </w:p>
        </w:tc>
        <w:tc>
          <w:tcPr>
            <w:tcW w:type="dxa" w:w="2600"/>
            <w:tcMar>
              <w:top w:w="110" w:type="dxa"/>
              <w:start w:w="130" w:type="dxa"/>
              <w:bottom w:w="110" w:type="dxa"/>
              <w:end w:w="130" w:type="dxa"/>
            </w:tcMar>
            <w:vAlign w:val="center"/>
            <w:shd w:fill="EEF3F8"/>
          </w:tcPr>
          <w:p>
            <w:pPr>
              <w:spacing w:after="0"/>
            </w:pPr>
            <w:r>
              <w:t>Intellectual Property</w:t>
            </w:r>
          </w:p>
        </w:tc>
        <w:tc>
          <w:tcPr>
            <w:tcW w:type="dxa" w:w="4960"/>
            <w:tcMar>
              <w:top w:w="110" w:type="dxa"/>
              <w:start w:w="130" w:type="dxa"/>
              <w:bottom w:w="110" w:type="dxa"/>
              <w:end w:w="130" w:type="dxa"/>
            </w:tcMar>
            <w:vAlign w:val="center"/>
            <w:shd w:fill="EEF3F8"/>
          </w:tcPr>
          <w:p>
            <w:pPr>
              <w:spacing w:after="0"/>
            </w:pPr>
            <w:r>
              <w:t>Original inventions, designs, methods, documents, software, and other creations whose ownership or confidentiality may need protection.</w:t>
            </w:r>
          </w:p>
        </w:tc>
      </w:tr>
    </w:tbl>
    <w:p>
      <w:r>
        <w:br w:type="page"/>
      </w:r>
    </w:p>
    <w:p>
      <w:pPr>
        <w:pStyle w:val="Heading2"/>
      </w:pPr>
      <w:r>
        <w:t>Glossary (continued)</w:t>
      </w:r>
    </w:p>
    <w:tbl>
      <w:tblPr>
        <w:tblW w:type="dxa" w:w="9360"/>
        <w:tblLayout w:type="fixed"/>
        <w:tblLook w:firstColumn="1" w:firstRow="1" w:lastColumn="0" w:lastRow="0" w:noHBand="0" w:noVBand="1" w:val="04A0"/>
      </w:tblPr>
      <w:tblGrid>
        <w:gridCol w:w="1800"/>
        <w:gridCol w:w="2600"/>
        <w:gridCol w:w="4960"/>
      </w:tblGrid>
      <w:tr>
        <w:trPr>
          <w:tblHeader w:val="true"/>
        </w:trPr>
        <w:tc>
          <w:tcPr>
            <w:tcW w:type="dxa" w:w="1800"/>
            <w:tcMar>
              <w:top w:w="110" w:type="dxa"/>
              <w:start w:w="130" w:type="dxa"/>
              <w:bottom w:w="110" w:type="dxa"/>
              <w:end w:w="130" w:type="dxa"/>
            </w:tcMar>
            <w:shd w:fill="17365D"/>
            <w:vAlign w:val="center"/>
          </w:tcPr>
          <w:p>
            <w:pPr>
              <w:spacing w:after="0"/>
            </w:pPr>
            <w:r>
              <w:rPr>
                <w:b/>
                <w:color w:val="FFFFFF"/>
              </w:rPr>
              <w:t>Abbreviation</w:t>
            </w:r>
          </w:p>
        </w:tc>
        <w:tc>
          <w:tcPr>
            <w:tcW w:type="dxa" w:w="2600"/>
            <w:tcMar>
              <w:top w:w="110" w:type="dxa"/>
              <w:start w:w="130" w:type="dxa"/>
              <w:bottom w:w="110" w:type="dxa"/>
              <w:end w:w="130" w:type="dxa"/>
            </w:tcMar>
            <w:shd w:fill="17365D"/>
            <w:vAlign w:val="center"/>
          </w:tcPr>
          <w:p>
            <w:pPr>
              <w:spacing w:after="0"/>
            </w:pPr>
            <w:r>
              <w:rPr>
                <w:b/>
                <w:color w:val="FFFFFF"/>
              </w:rPr>
              <w:t>Full term</w:t>
            </w:r>
          </w:p>
        </w:tc>
        <w:tc>
          <w:tcPr>
            <w:tcW w:type="dxa" w:w="4960"/>
            <w:tcMar>
              <w:top w:w="110" w:type="dxa"/>
              <w:start w:w="130" w:type="dxa"/>
              <w:bottom w:w="110" w:type="dxa"/>
              <w:end w:w="130" w:type="dxa"/>
            </w:tcMar>
            <w:shd w:fill="17365D"/>
            <w:vAlign w:val="center"/>
          </w:tcPr>
          <w:p>
            <w:pPr>
              <w:spacing w:after="0"/>
            </w:pPr>
            <w:r>
              <w:rPr>
                <w:b/>
                <w:color w:val="FFFFFF"/>
              </w:rPr>
              <w:t>Plain-language meaning</w:t>
            </w:r>
          </w:p>
        </w:tc>
      </w:tr>
      <w:tr>
        <w:tc>
          <w:tcPr>
            <w:tcW w:type="dxa" w:w="1800"/>
            <w:tcMar>
              <w:top w:w="110" w:type="dxa"/>
              <w:start w:w="130" w:type="dxa"/>
              <w:bottom w:w="110" w:type="dxa"/>
              <w:end w:w="130" w:type="dxa"/>
            </w:tcMar>
            <w:vAlign w:val="center"/>
          </w:tcPr>
          <w:p>
            <w:pPr>
              <w:spacing w:after="0"/>
            </w:pPr>
            <w:r>
              <w:rPr>
                <w:b/>
                <w:color w:val="17365D"/>
              </w:rPr>
              <w:t>IR</w:t>
            </w:r>
          </w:p>
        </w:tc>
        <w:tc>
          <w:tcPr>
            <w:tcW w:type="dxa" w:w="2600"/>
            <w:tcMar>
              <w:top w:w="110" w:type="dxa"/>
              <w:start w:w="130" w:type="dxa"/>
              <w:bottom w:w="110" w:type="dxa"/>
              <w:end w:w="130" w:type="dxa"/>
            </w:tcMar>
            <w:vAlign w:val="center"/>
          </w:tcPr>
          <w:p>
            <w:pPr>
              <w:spacing w:after="0"/>
            </w:pPr>
            <w:r>
              <w:t>Intermediate Representation</w:t>
            </w:r>
          </w:p>
        </w:tc>
        <w:tc>
          <w:tcPr>
            <w:tcW w:type="dxa" w:w="4960"/>
            <w:tcMar>
              <w:top w:w="110" w:type="dxa"/>
              <w:start w:w="130" w:type="dxa"/>
              <w:bottom w:w="110" w:type="dxa"/>
              <w:end w:w="130" w:type="dxa"/>
            </w:tcMar>
            <w:vAlign w:val="center"/>
          </w:tcPr>
          <w:p>
            <w:pPr>
              <w:spacing w:after="0"/>
            </w:pPr>
            <w:r>
              <w:t>A structured form produced between the original application description and the final LLM instruction or generated code.</w:t>
            </w:r>
          </w:p>
        </w:tc>
      </w:tr>
      <w:tr>
        <w:tc>
          <w:tcPr>
            <w:tcW w:type="dxa" w:w="1800"/>
            <w:tcMar>
              <w:top w:w="110" w:type="dxa"/>
              <w:start w:w="130" w:type="dxa"/>
              <w:bottom w:w="110" w:type="dxa"/>
              <w:end w:w="130" w:type="dxa"/>
            </w:tcMar>
            <w:vAlign w:val="center"/>
            <w:shd w:fill="EEF3F8"/>
          </w:tcPr>
          <w:p>
            <w:pPr>
              <w:spacing w:after="0"/>
            </w:pPr>
            <w:r>
              <w:rPr>
                <w:b/>
                <w:color w:val="17365D"/>
              </w:rPr>
              <w:t>JSON</w:t>
            </w:r>
          </w:p>
        </w:tc>
        <w:tc>
          <w:tcPr>
            <w:tcW w:type="dxa" w:w="2600"/>
            <w:tcMar>
              <w:top w:w="110" w:type="dxa"/>
              <w:start w:w="130" w:type="dxa"/>
              <w:bottom w:w="110" w:type="dxa"/>
              <w:end w:w="130" w:type="dxa"/>
            </w:tcMar>
            <w:vAlign w:val="center"/>
            <w:shd w:fill="EEF3F8"/>
          </w:tcPr>
          <w:p>
            <w:pPr>
              <w:spacing w:after="0"/>
            </w:pPr>
            <w:r>
              <w:t>JavaScript Object Notation</w:t>
            </w:r>
          </w:p>
        </w:tc>
        <w:tc>
          <w:tcPr>
            <w:tcW w:type="dxa" w:w="4960"/>
            <w:tcMar>
              <w:top w:w="110" w:type="dxa"/>
              <w:start w:w="130" w:type="dxa"/>
              <w:bottom w:w="110" w:type="dxa"/>
              <w:end w:w="130" w:type="dxa"/>
            </w:tcMar>
            <w:vAlign w:val="center"/>
            <w:shd w:fill="EEF3F8"/>
          </w:tcPr>
          <w:p>
            <w:pPr>
              <w:spacing w:after="0"/>
            </w:pPr>
            <w:r>
              <w:t>A widely used text format for representing structured data with named fields, values, lists, and nested objects.</w:t>
            </w:r>
          </w:p>
        </w:tc>
      </w:tr>
      <w:tr>
        <w:tc>
          <w:tcPr>
            <w:tcW w:type="dxa" w:w="1800"/>
            <w:tcMar>
              <w:top w:w="110" w:type="dxa"/>
              <w:start w:w="130" w:type="dxa"/>
              <w:bottom w:w="110" w:type="dxa"/>
              <w:end w:w="130" w:type="dxa"/>
            </w:tcMar>
            <w:vAlign w:val="center"/>
          </w:tcPr>
          <w:p>
            <w:pPr>
              <w:spacing w:after="0"/>
            </w:pPr>
            <w:r>
              <w:rPr>
                <w:b/>
                <w:color w:val="17365D"/>
              </w:rPr>
              <w:t>LLM</w:t>
            </w:r>
          </w:p>
        </w:tc>
        <w:tc>
          <w:tcPr>
            <w:tcW w:type="dxa" w:w="2600"/>
            <w:tcMar>
              <w:top w:w="110" w:type="dxa"/>
              <w:start w:w="130" w:type="dxa"/>
              <w:bottom w:w="110" w:type="dxa"/>
              <w:end w:w="130" w:type="dxa"/>
            </w:tcMar>
            <w:vAlign w:val="center"/>
          </w:tcPr>
          <w:p>
            <w:pPr>
              <w:spacing w:after="0"/>
            </w:pPr>
            <w:r>
              <w:t>Large Language Model</w:t>
            </w:r>
          </w:p>
        </w:tc>
        <w:tc>
          <w:tcPr>
            <w:tcW w:type="dxa" w:w="4960"/>
            <w:tcMar>
              <w:top w:w="110" w:type="dxa"/>
              <w:start w:w="130" w:type="dxa"/>
              <w:bottom w:w="110" w:type="dxa"/>
              <w:end w:w="130" w:type="dxa"/>
            </w:tcMar>
            <w:vAlign w:val="center"/>
          </w:tcPr>
          <w:p>
            <w:pPr>
              <w:spacing w:after="0"/>
            </w:pPr>
            <w:r>
              <w:t>An AI model trained on large collections of text and code that can interpret instructions and generate language or software.</w:t>
            </w:r>
          </w:p>
        </w:tc>
      </w:tr>
      <w:tr>
        <w:tc>
          <w:tcPr>
            <w:tcW w:type="dxa" w:w="1800"/>
            <w:tcMar>
              <w:top w:w="110" w:type="dxa"/>
              <w:start w:w="130" w:type="dxa"/>
              <w:bottom w:w="110" w:type="dxa"/>
              <w:end w:w="130" w:type="dxa"/>
            </w:tcMar>
            <w:vAlign w:val="center"/>
            <w:shd w:fill="EEF3F8"/>
          </w:tcPr>
          <w:p>
            <w:pPr>
              <w:spacing w:after="0"/>
            </w:pPr>
            <w:r>
              <w:rPr>
                <w:b/>
                <w:color w:val="17365D"/>
              </w:rPr>
              <w:t>LSC</w:t>
            </w:r>
          </w:p>
        </w:tc>
        <w:tc>
          <w:tcPr>
            <w:tcW w:type="dxa" w:w="2600"/>
            <w:tcMar>
              <w:top w:w="110" w:type="dxa"/>
              <w:start w:w="130" w:type="dxa"/>
              <w:bottom w:w="110" w:type="dxa"/>
              <w:end w:w="130" w:type="dxa"/>
            </w:tcMar>
            <w:vAlign w:val="center"/>
            <w:shd w:fill="EEF3F8"/>
          </w:tcPr>
          <w:p>
            <w:pPr>
              <w:spacing w:after="0"/>
            </w:pPr>
            <w:r>
              <w:t>LLM Script Compiler</w:t>
            </w:r>
          </w:p>
        </w:tc>
        <w:tc>
          <w:tcPr>
            <w:tcW w:type="dxa" w:w="4960"/>
            <w:tcMar>
              <w:top w:w="110" w:type="dxa"/>
              <w:start w:w="130" w:type="dxa"/>
              <w:bottom w:w="110" w:type="dxa"/>
              <w:end w:w="130" w:type="dxa"/>
            </w:tcMar>
            <w:vAlign w:val="center"/>
            <w:shd w:fill="EEF3F8"/>
          </w:tcPr>
          <w:p>
            <w:pPr>
              <w:spacing w:after="0"/>
            </w:pPr>
            <w:r>
              <w:t>The abbreviated product or diagnostic prefix used in this paper for the proposed compilation system.</w:t>
            </w:r>
          </w:p>
        </w:tc>
      </w:tr>
      <w:tr>
        <w:tc>
          <w:tcPr>
            <w:tcW w:type="dxa" w:w="1800"/>
            <w:tcMar>
              <w:top w:w="110" w:type="dxa"/>
              <w:start w:w="130" w:type="dxa"/>
              <w:bottom w:w="110" w:type="dxa"/>
              <w:end w:w="130" w:type="dxa"/>
            </w:tcMar>
            <w:vAlign w:val="center"/>
          </w:tcPr>
          <w:p>
            <w:pPr>
              <w:spacing w:after="0"/>
            </w:pPr>
            <w:r>
              <w:rPr>
                <w:b/>
                <w:color w:val="17365D"/>
              </w:rPr>
              <w:t>UI</w:t>
            </w:r>
          </w:p>
        </w:tc>
        <w:tc>
          <w:tcPr>
            <w:tcW w:type="dxa" w:w="2600"/>
            <w:tcMar>
              <w:top w:w="110" w:type="dxa"/>
              <w:start w:w="130" w:type="dxa"/>
              <w:bottom w:w="110" w:type="dxa"/>
              <w:end w:w="130" w:type="dxa"/>
            </w:tcMar>
            <w:vAlign w:val="center"/>
          </w:tcPr>
          <w:p>
            <w:pPr>
              <w:spacing w:after="0"/>
            </w:pPr>
            <w:r>
              <w:t>User Interface</w:t>
            </w:r>
          </w:p>
        </w:tc>
        <w:tc>
          <w:tcPr>
            <w:tcW w:type="dxa" w:w="4960"/>
            <w:tcMar>
              <w:top w:w="110" w:type="dxa"/>
              <w:start w:w="130" w:type="dxa"/>
              <w:bottom w:w="110" w:type="dxa"/>
              <w:end w:w="130" w:type="dxa"/>
            </w:tcMar>
            <w:vAlign w:val="center"/>
          </w:tcPr>
          <w:p>
            <w:pPr>
              <w:spacing w:after="0"/>
            </w:pPr>
            <w:r>
              <w:t>The screens, menus, forms, controls, and visual feedback through which a person uses an application.</w:t>
            </w:r>
          </w:p>
        </w:tc>
      </w:tr>
      <w:tr>
        <w:tc>
          <w:tcPr>
            <w:tcW w:type="dxa" w:w="1800"/>
            <w:tcMar>
              <w:top w:w="110" w:type="dxa"/>
              <w:start w:w="130" w:type="dxa"/>
              <w:bottom w:w="110" w:type="dxa"/>
              <w:end w:w="130" w:type="dxa"/>
            </w:tcMar>
            <w:vAlign w:val="center"/>
            <w:shd w:fill="EEF3F8"/>
          </w:tcPr>
          <w:p>
            <w:pPr>
              <w:spacing w:after="0"/>
            </w:pPr>
            <w:r>
              <w:rPr>
                <w:b/>
                <w:color w:val="17365D"/>
              </w:rPr>
              <w:t>ZIP</w:t>
            </w:r>
          </w:p>
        </w:tc>
        <w:tc>
          <w:tcPr>
            <w:tcW w:type="dxa" w:w="2600"/>
            <w:tcMar>
              <w:top w:w="110" w:type="dxa"/>
              <w:start w:w="130" w:type="dxa"/>
              <w:bottom w:w="110" w:type="dxa"/>
              <w:end w:w="130" w:type="dxa"/>
            </w:tcMar>
            <w:vAlign w:val="center"/>
            <w:shd w:fill="EEF3F8"/>
          </w:tcPr>
          <w:p>
            <w:pPr>
              <w:spacing w:after="0"/>
            </w:pPr>
            <w:r>
              <w:t>ZIP archive format</w:t>
            </w:r>
          </w:p>
        </w:tc>
        <w:tc>
          <w:tcPr>
            <w:tcW w:type="dxa" w:w="4960"/>
            <w:tcMar>
              <w:top w:w="110" w:type="dxa"/>
              <w:start w:w="130" w:type="dxa"/>
              <w:bottom w:w="110" w:type="dxa"/>
              <w:end w:w="130" w:type="dxa"/>
            </w:tcMar>
            <w:vAlign w:val="center"/>
            <w:shd w:fill="EEF3F8"/>
          </w:tcPr>
          <w:p>
            <w:pPr>
              <w:spacing w:after="0"/>
            </w:pPr>
            <w:r>
              <w:t>A common compressed package used to place many project files and folders into one transferable file. ZIP is the format name rather than a modern expansion.</w:t>
            </w:r>
          </w:p>
        </w:tc>
      </w:tr>
      <w:tr>
        <w:tc>
          <w:tcPr>
            <w:tcW w:type="dxa" w:w="1800"/>
          </w:tcPr>
          <w:p>
            <w:r>
              <w:t>Software Blueprint</w:t>
            </w:r>
          </w:p>
        </w:tc>
        <w:tc>
          <w:tcPr>
            <w:tcW w:type="dxa" w:w="2600"/>
          </w:tcPr>
          <w:p>
            <w:r>
              <w:t>Software Blueprint</w:t>
            </w:r>
          </w:p>
        </w:tc>
        <w:tc>
          <w:tcPr>
            <w:tcW w:type="dxa" w:w="4960"/>
          </w:tcPr>
          <w:p>
            <w:r>
              <w:t>A hierarchical set of software components and business rules explicitly wired together to achieve a stated purpose.</w:t>
            </w:r>
          </w:p>
        </w:tc>
      </w:tr>
      <w:tr>
        <w:tc>
          <w:tcPr>
            <w:tcW w:type="dxa" w:w="1800"/>
          </w:tcPr>
          <w:p>
            <w:r>
              <w:t>Semantic spine</w:t>
            </w:r>
          </w:p>
        </w:tc>
        <w:tc>
          <w:tcPr>
            <w:tcW w:type="dxa" w:w="2600"/>
          </w:tcPr>
          <w:p>
            <w:r>
              <w:t>Five-level semantic spine</w:t>
            </w:r>
          </w:p>
        </w:tc>
        <w:tc>
          <w:tcPr>
            <w:tcW w:type="dxa" w:w="4960"/>
          </w:tcPr>
          <w:p>
            <w:r>
              <w:t>The Enterprise, Domain, Capability, Aggregate, and Behavior hierarchy used to preserve context from broad purpose to atomic contracts.</w:t>
            </w:r>
          </w:p>
        </w:tc>
      </w:tr>
      <w:tr>
        <w:tc>
          <w:tcPr>
            <w:tcW w:type="dxa" w:w="1800"/>
          </w:tcPr>
          <w:p>
            <w:r>
              <w:t>AST emitter</w:t>
            </w:r>
          </w:p>
        </w:tc>
        <w:tc>
          <w:tcPr>
            <w:tcW w:type="dxa" w:w="2600"/>
          </w:tcPr>
          <w:p>
            <w:r>
              <w:t>Abstract Syntax Tree emitter</w:t>
            </w:r>
          </w:p>
        </w:tc>
        <w:tc>
          <w:tcPr>
            <w:tcW w:type="dxa" w:w="4960"/>
          </w:tcPr>
          <w:p>
            <w:r>
              <w:t>A compiler backend that profiles, tokenizes, serializes, and verifies a portable representation of the canonical software model.</w:t>
            </w:r>
          </w:p>
        </w:tc>
      </w:tr>
    </w:tbl>
    <w:p>
      <w:r>
        <w:t>Note: Uppercase words shown inside code examples, such as ERROR, PASS, READS, WRITES, and REQUIRES, are literal machine-readable labels rather than abbreviations.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27D"/>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SOFTWARE ARCHITECTURE  |  WORKING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hitePaperKicker">
    <w:name w:val="White Paper Kicker"/>
    <w:rPr>
      <w:rFonts w:ascii="Calibri" w:hAnsi="Calibri"/>
      <w:b/>
      <w:color w:val="B38A2E"/>
      <w:sz w:val="20"/>
    </w:rPr>
  </w:style>
  <w:style w:type="paragraph" w:customStyle="1" w:styleId="LeadCallout">
    <w:name w:val="Lead Callout"/>
    <w:pPr>
      <w:spacing w:before="160" w:after="240" w:line="288" w:lineRule="auto"/>
    </w:pPr>
    <w:rPr>
      <w:rFonts w:ascii="Calibri" w:hAnsi="Calibri"/>
      <w:b/>
      <w:color w:val="203748"/>
      <w:sz w:val="24"/>
    </w:rPr>
  </w:style>
  <w:style w:type="paragraph" w:customStyle="1" w:styleId="CodeBlock">
    <w:name w:val="Code Block"/>
    <w:pPr>
      <w:spacing w:before="80" w:after="160" w:line="240" w:lineRule="auto"/>
      <w:ind w:left="259" w:right="259"/>
    </w:pPr>
    <w:rPr>
      <w:rFonts w:ascii="Consolas" w:hAnsi="Consolas"/>
      <w:sz w:val="17"/>
    </w:rPr>
  </w:style>
  <w:style w:type="paragraph" w:customStyle="1" w:styleId="FigureCaption">
    <w:name w:val="Figure Caption"/>
    <w:pPr>
      <w:spacing w:after="160"/>
    </w:pPr>
    <w:rPr>
      <w:rFonts w:ascii="Calibri" w:hAnsi="Calibri"/>
      <w:i/>
      <w:color w:val="66727D"/>
      <w:sz w:val="18"/>
    </w:rPr>
  </w:style>
  <w:style w:type="paragraph" w:customStyle="1" w:styleId="SmallNote">
    <w:name w:val="Small Note"/>
    <w:pPr>
      <w:spacing w:after="120"/>
    </w:pPr>
    <w:rPr>
      <w:rFonts w:ascii="Calibri" w:hAnsi="Calibri"/>
      <w:color w:val="66727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LLM Script Compiler — Generic White Paper v0.5</dc:title>
  <dc:subject>A generic architecture for compiling software specifications for large language models</dc:subject>
  <dc:creator>Robert Tu</dc:creator>
  <cp:keywords/>
  <dc:description>Generic public working paper; project-specific research material excluded.</dc:description>
  <cp:lastModifiedBy/>
  <cp:revision>1</cp:revision>
  <dcterms:created xsi:type="dcterms:W3CDTF">2013-12-23T23:15:00Z</dcterms:created>
  <dcterms:modified xsi:type="dcterms:W3CDTF">2013-12-23T23:15:00Z</dcterms:modified>
  <cp:category/>
</cp:coreProperties>
</file>