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建筑生态策略｜八分钟汇报演说稿</w:t>
      </w:r>
    </w:p>
    <w:p>
      <w:pPr>
        <w:jc w:val="left"/>
      </w:pPr>
      <w:r>
        <w:rPr>
          <w:color w:val="687068"/>
          <w:sz w:val="22"/>
        </w:rPr>
        <w:t>案例分析 × 干煤棚个人设计｜按最新 PPT 页序编排</w:t>
      </w:r>
    </w:p>
    <w:p>
      <w:r>
        <w:rPr>
          <w:color w:val="687068"/>
          <w:sz w:val="18"/>
        </w:rPr>
        <w:t>建议语速：每分钟约 230–260 字；总时长约 7 分 40 秒至 8 分 20 秒。方括号内容为翻页提示，不需要朗读。</w:t>
      </w:r>
    </w:p>
    <w:p>
      <w:pPr>
        <w:pStyle w:val="Heading1"/>
      </w:pPr>
      <w:r>
        <w:t>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D4D3E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12"/>
            <w:shd w:fill="2D4D3E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12"/>
            <w:shd w:fill="2D4D3E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对应页码</w:t>
            </w:r>
          </w:p>
        </w:tc>
      </w:tr>
      <w:tr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00:00–00:35</w:t>
            </w:r>
          </w:p>
        </w:tc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开场与研究问题</w:t>
            </w:r>
          </w:p>
        </w:tc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案例 P01 / 个人 P01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00:35–02:35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两案分析与翻译矩阵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案例 P02–P15</w:t>
            </w:r>
          </w:p>
        </w:tc>
      </w:tr>
      <w:tr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02:35–05:35</w:t>
            </w:r>
          </w:p>
        </w:tc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个人设计：概念、一层、二层</w:t>
            </w:r>
          </w:p>
        </w:tc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个人 P02–P07</w:t>
            </w:r>
          </w:p>
        </w:tc>
      </w:tr>
      <w:tr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05:35–06:50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生态策略、植物与营业时段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个人 P03、P08–P12</w:t>
            </w:r>
          </w:p>
        </w:tc>
      </w:tr>
      <w:tr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06:50–08:00</w:t>
            </w:r>
          </w:p>
        </w:tc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效果图、结论与后续验证</w:t>
            </w:r>
          </w:p>
        </w:tc>
        <w:tc>
          <w:tcPr>
            <w:tcW w:type="dxa" w:w="3312"/>
            <w:shd w:fill="ECF0E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7413A"/>
                <w:sz w:val="18"/>
              </w:rPr>
              <w:t>个人 P06–P07</w:t>
            </w:r>
          </w:p>
        </w:tc>
      </w:tr>
    </w:tbl>
    <w:p>
      <w:pPr>
        <w:pStyle w:val="Heading1"/>
      </w:pPr>
      <w:r>
        <w:t>00:00–00:35｜开场</w:t>
      </w:r>
    </w:p>
    <w:p>
      <w:pPr>
        <w:spacing w:after="140" w:line="276" w:lineRule="auto"/>
      </w:pPr>
      <w:r>
        <w:t>各位老师好，我今天汇报的题目是《记忆空间内的廊下花园——干煤棚更新设计》。我的设计对象是一座长条形工业煤棚，已知建筑长度约216米，宽度约40.5米，网架下高18.5米，檐口高度21.37米。</w:t>
        <w:br/>
        <w:br/>
        <w:t>这次汇报分为两部分：第一部分是两个工业遗产更新案例，第二部分是我基于案例形成的个人设计。我的核心问题是：在保留煤棚原有柱、桁架和连续棚顶的前提下，如何把一个生产性空间转变成开放、可停留、可持续运营的公共空间。</w:t>
      </w:r>
    </w:p>
    <w:p>
      <w:pPr>
        <w:pStyle w:val="Heading1"/>
      </w:pPr>
      <w:r>
        <w:t>00:35–01:25｜案例一：Tonsley 主装配厂房</w:t>
      </w:r>
    </w:p>
    <w:p>
      <w:pPr>
        <w:spacing w:after="140" w:line="276" w:lineRule="auto"/>
      </w:pPr>
      <w:r>
        <w:t>第一个案例是澳大利亚阿德莱德的 Tonsley 主装配厂房。它最重要的做法，是把原有的大跨度屋盖保留下来，作为一个覆盖整个公共空间的共同屋盖，也就是项目中所说的 umbrella。新功能没有填满整个厂房，而是以 Pods、盒子和可调整的工作单元植入屋盖之下。</w:t>
        <w:br/>
        <w:br/>
        <w:t>因此，原有结构负责历史表达和空间尺度，新插入体负责当代功能；而单元之间留下的空隙，承担展览、教育、交流、活动和日常休闲。这个案例给我的第一点启发是：工业结构不只是需要被保护的对象，它本身可以成为公共空间的秩序。第二点是，功能不应被理解为固定房间，而应当允许根据时间和活动变化。第三点是，绿化、通风、采光和运营要一起考虑，不能把生态策略放在建筑完成之后再补充。</w:t>
      </w:r>
    </w:p>
    <w:p>
      <w:pPr>
        <w:pStyle w:val="Heading1"/>
      </w:pPr>
      <w:r>
        <w:t>01:25–02:05｜案例二：南京压缩机厂社区中心</w:t>
      </w:r>
    </w:p>
    <w:p>
      <w:pPr>
        <w:spacing w:after="140" w:line="276" w:lineRule="auto"/>
      </w:pPr>
      <w:r>
        <w:t>第二个案例是南京压缩机厂保护与更新。这个项目更强调工业遗产对城市公共生活的修补作用。它保留原有厂房、网架和林荫道路，同时让新增钢结构与原有混凝土结构脱开，保证更新过程具有可逆性。</w:t>
        <w:br/>
        <w:br/>
        <w:t>其中，“云影”长廊和步行桥把社区文化、体育、商业和日常活动串联起来；废弃循环水池被改造成下沉广场，原有树木也被保留下来。这个案例对我最重要的启发有三点：第一，更新不是简单配置功能，而是重新建立场地与城市的联系；第二，新旧结构要清楚区分，新的介入应该轻、可拆、可调整；第三，工业遗存、下沉空间和植物可以共同形成公共生活的节点。</w:t>
      </w:r>
    </w:p>
    <w:p>
      <w:pPr>
        <w:pStyle w:val="Heading1"/>
      </w:pPr>
      <w:r>
        <w:t>02:05–02:35｜两案对比与翻译矩阵</w:t>
      </w:r>
    </w:p>
    <w:p>
      <w:pPr>
        <w:spacing w:after="140" w:line="276" w:lineRule="auto"/>
      </w:pPr>
      <w:r>
        <w:t>把两个案例放在一起看，Tonsley更侧重“大屋盖下的复合运营”和环境性能，南京案例更侧重“新旧分离、公共串联和场所记忆”。我的设计没有直接复制某一种形式，而是把两种经验转译为四个动作：保留煤棚原有柱、桁架和屋顶；在棚下植入可拆卸的功能岛；用连续公共步道串联文化、日常和滨江三个段落；最后用下沉广场、树池、树木空井和雨水花园构成生态节点。后面个人设计中的每一张图，都是围绕这四个动作展开的。</w:t>
      </w:r>
    </w:p>
    <w:p>
      <w:pPr>
        <w:pStyle w:val="Heading1"/>
      </w:pPr>
      <w:r>
        <w:t>02:35–03:25｜总体概念与空间结构</w:t>
      </w:r>
    </w:p>
    <w:p>
      <w:pPr>
        <w:spacing w:after="140" w:line="276" w:lineRule="auto"/>
      </w:pPr>
      <w:r>
        <w:t>我的设计概念是“工业框架下的生态植入”，也可以概括为“记忆空间内的廊下花园”。我把长条形煤棚组织成一条可以穿行、停留和观景的公共空间。</w:t>
        <w:br/>
        <w:br/>
        <w:t>沿长度方向分为三个功能段：西侧是文化进入，包括入口、主题展览和活动教室；中部是日常使用，包括零售、植物节点和连续公共步道；东侧面向滨江，包括餐饮、厨房后勤和观江空间。主步道的概念宽度约为8米，两处横向开放联系约为6米。这样处理的目的，是让人不会只进入某一个房间，而是始终感受到原有煤棚的长度、结构节奏和公共连续性。</w:t>
      </w:r>
    </w:p>
    <w:p>
      <w:pPr>
        <w:pStyle w:val="Heading1"/>
      </w:pPr>
      <w:r>
        <w:t>03:25–04:20｜一层：文化进入、日常活力与绿化停留</w:t>
      </w:r>
    </w:p>
    <w:p>
      <w:pPr>
        <w:spacing w:after="140" w:line="276" w:lineRule="auto"/>
      </w:pPr>
      <w:r>
        <w:t>一层是整个方案中最开放的一层。西侧入口首先进入主题展览和活动教室，形成对工业记忆的文化导入；中部的零售单元沿公共步道布置，店铺前保留停留和展陈的灰空间；东侧餐饮与厨房后勤靠近滨江，同时将服务流线放在公共主线外侧。</w:t>
        <w:br/>
        <w:br/>
        <w:t>一层的绿化不是装饰，而是空间组织的一部分。植物节点被分为穿行、停留和生态三类，分别对应步道边界、座椅和雨水花园。场地中部设置下沉广场，通过约0.6米和0.9米的高差过渡，把原本平直的场地变成可以坐下、停留和观察的公共地形。这里也延续了南京案例中把废弃空间转化为公共节点的做法。</w:t>
      </w:r>
    </w:p>
    <w:p>
      <w:pPr>
        <w:pStyle w:val="Heading1"/>
      </w:pPr>
      <w:r>
        <w:t>04:20–05:10｜二层：局部插入、通高空间与公共节点</w:t>
      </w:r>
    </w:p>
    <w:p>
      <w:pPr>
        <w:spacing w:after="140" w:line="276" w:lineRule="auto"/>
      </w:pPr>
      <w:r>
        <w:t>二层没有做成完整覆盖的楼板，而是局部插入阅读、小展陈、共享工作坊和观景平台。西侧和中部保留部分通高空间，让人能够看到原有桁架；滨江一侧保留开放的观景和休憩区域。</w:t>
        <w:br/>
        <w:br/>
        <w:t>二层平台采用独立支撑，尽量避让原有柱网和桁架，体现新旧结构分离以及可拆卸、可调整的更新逻辑。局部树木通过空井从一层延伸到二层，使绿化从平面上的符号转变为竖向空间结构，同时也为二层提供自然景观和视觉联系。</w:t>
      </w:r>
    </w:p>
    <w:p>
      <w:pPr>
        <w:pStyle w:val="Heading1"/>
      </w:pPr>
      <w:r>
        <w:t>05:10–05:55｜生态策略与植物配置</w:t>
      </w:r>
    </w:p>
    <w:p>
      <w:pPr>
        <w:spacing w:after="140" w:line="276" w:lineRule="auto"/>
      </w:pPr>
      <w:r>
        <w:t>生态策略主要由四个部分组成。第一是光照，通过日照分析确定空井、横向开口和耐阴植物的位置；第二是通风，利用两处横向开放联系和通高步道形成横向气流；第三是雨水，让屋面汇水进入树池和下沉花园，再通过溢流和灌溉形成维护链；第四是运营，把植物维护、座椅、照明和夜间安全纳入公共空间设计。</w:t>
        <w:br/>
        <w:br/>
        <w:t>植物配置按乔木、灌木、地被、藤本和湿生植物分层。乔木重点用于空井和停留节点，灌木与地被形成边界和季相，湿生植物对应雨水花园。下一步还需要结合根区土层、耐阴耐涝等级和维护通道，对植物表进行进一步复核。</w:t>
      </w:r>
    </w:p>
    <w:p>
      <w:pPr>
        <w:pStyle w:val="Heading1"/>
      </w:pPr>
      <w:r>
        <w:t>05:55–06:35｜营业时段与公共开放</w:t>
      </w:r>
    </w:p>
    <w:p>
      <w:pPr>
        <w:spacing w:after="140" w:line="276" w:lineRule="auto"/>
      </w:pPr>
      <w:r>
        <w:t>为了让空间真正成为公共空间，我补充了运营时段。滨江公共步道和一层花园工作日开放到22点30分，周末延长到23点；主题展览和活动教室工作日为9点30分到18点，周末可延长到20点30分；零售约10点到21点；餐饮和咖啡从早上8点开放到晚上21点30分，周末到22点；二层阅读、工作坊和观景平台按照展览和活动安排错峰延时。</w:t>
        <w:br/>
        <w:br/>
        <w:t>后勤、设备和园林维护从6点开始，配送安排在7点到9点以及14点到16点，避开公众高峰。这样，公共主线保持长时间开放，商业单元按功能错峰，后勤流线则与公共流线分离。</w:t>
      </w:r>
    </w:p>
    <w:p>
      <w:pPr>
        <w:pStyle w:val="Heading1"/>
      </w:pPr>
      <w:r>
        <w:t>06:35–07:20｜效果图与空间体验</w:t>
      </w:r>
    </w:p>
    <w:p>
      <w:pPr>
        <w:spacing w:after="140" w:line="276" w:lineRule="auto"/>
      </w:pPr>
      <w:r>
        <w:t>效果图主要展示三类空间体验：第一类是下沉广场和绿化公共空间，强调人在棚下花园中的停留；第二类是展览、餐饮和中央公共步道，强调工业柱廊与日常活动的结合；第三类是二层空井和观景平台，强调树木、平台和原有桁架之间的竖向关系。</w:t>
        <w:br/>
        <w:br/>
        <w:t>这些效果图表达的是空间氛围和设计意图。真正的结构、消防、疏散、无障碍、雨水和植物根区，还需要回到CAD、结构计算和专项设计中进一步验证。</w:t>
      </w:r>
    </w:p>
    <w:p>
      <w:pPr>
        <w:pStyle w:val="Heading1"/>
      </w:pPr>
      <w:r>
        <w:t>07:20–08:00｜结尾</w:t>
      </w:r>
    </w:p>
    <w:p>
      <w:pPr>
        <w:spacing w:after="140" w:line="276" w:lineRule="auto"/>
      </w:pPr>
      <w:r>
        <w:t>最后，我希望这个方案不是在旧煤棚里简单放入一些新房间，而是让原有工业结构重新参与公共生活。柱、桁架和棚顶保留了场地记忆；连续步道把文化、日常和滨江空间串联起来；下沉广场、树池和空井把生态策略转化为可以使用的空间；可拆卸的平台和功能岛则让更新保持可逆。</w:t>
        <w:br/>
        <w:br/>
        <w:t>因此，“廊下花园”既是一个建筑空间，也是一种更新方法：让旧结构继续承担场所识别，让新介入承担当代功能，让生态系统参与日常运营。我的汇报到这里，谢谢各位老师。</w:t>
      </w:r>
    </w:p>
    <w:p>
      <w:pPr>
        <w:pStyle w:val="Heading1"/>
      </w:pPr>
      <w:r>
        <w:t>现场提示</w:t>
      </w:r>
    </w:p>
    <w:p>
      <w:pPr>
        <w:pStyle w:val="ListBullet"/>
      </w:pPr>
      <w:r>
        <w:t>案例页不要逐条念数据，重点讲“为什么借鉴”。</w:t>
      </w:r>
    </w:p>
    <w:p>
      <w:pPr>
        <w:pStyle w:val="ListBullet"/>
      </w:pPr>
      <w:r>
        <w:t>讲一层和二层时，手指或激光笔沿主步道移动，先说空间顺序，再说生态策略。</w:t>
      </w:r>
    </w:p>
    <w:p>
      <w:pPr>
        <w:pStyle w:val="ListBullet"/>
      </w:pPr>
      <w:r>
        <w:t>营业时段页只强调公共开放、商业错峰和后勤分流三句话。</w:t>
      </w:r>
    </w:p>
    <w:p>
      <w:pPr>
        <w:pStyle w:val="ListBullet"/>
      </w:pPr>
      <w:r>
        <w:t>如果老师追问具体指标，可说明当前为概念方案，后续以 CAD、结构、消防和环境模拟复核。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74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4D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71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D4D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