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7FE5" w:rsidRDefault="00484D54" w:rsidP="00D87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очень нужны, даже когда они нигде не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014E0C" w:rsidRDefault="00014E0C" w:rsidP="00014E0C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014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большое количество старого кода 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AF44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141E19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A63A62">
      <w:pPr>
        <w:pStyle w:val="ListParagraph"/>
        <w:keepNext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F44A9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forks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ответвлений проекта, используется разработчиками для работы в собственной ветке и последующих запросов на , внесение изменений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больше подобных ответвлений, тем как правило больше разработчиков принимают участие в проекте и работа над репозиторием идет более активно.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issues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</w:p>
    <w:p w:rsidR="00141E19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тем более зрелым является проект.</w:t>
      </w:r>
    </w:p>
    <w:p w:rsidR="00E473D7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stars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</w:p>
    <w:p w:rsidR="00810DED" w:rsidRPr="00141E19" w:rsidRDefault="00810DED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subscribers</w:t>
      </w:r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3752F7" w:rsidP="00AF44A9">
      <w:pPr>
        <w:rPr>
          <w:rFonts w:ascii="Times New Roman" w:hAnsi="Times New Roman" w:cs="Times New Roman"/>
          <w:sz w:val="28"/>
          <w:szCs w:val="28"/>
        </w:rPr>
      </w:pPr>
      <w:r w:rsidRPr="003752F7">
        <w:rPr>
          <w:noProof/>
        </w:rPr>
        <w:drawing>
          <wp:inline distT="0" distB="0" distL="0" distR="0">
            <wp:extent cx="453898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F7" w:rsidRDefault="00437F5E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следует из приведенных данных статистики по более чем 1000 репозиториев с открытым исходным кодом, ни одна из общедоступных зарактеристик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A55641" w:rsidRDefault="00A5564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5641" w:rsidRPr="00A63A62" w:rsidRDefault="00A55641" w:rsidP="00A55641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взаимосвязей между </w:t>
      </w:r>
      <w:r>
        <w:rPr>
          <w:rFonts w:ascii="Times New Roman" w:hAnsi="Times New Roman" w:cs="Times New Roman"/>
          <w:sz w:val="28"/>
          <w:szCs w:val="28"/>
          <w:lang w:val="ru-RU"/>
        </w:rPr>
        <w:t>волатильностью репозитория и качеством кода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5641" w:rsidRPr="00A55641" w:rsidRDefault="00A55641" w:rsidP="00A556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Правила написания кода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F30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Корреляция показателя волатильности с обобщенным показателем качества кода репозитория оказывается выше 87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%.</w:t>
      </w:r>
    </w:p>
    <w:p w:rsidR="00F306FC" w:rsidRPr="00F306FC" w:rsidRDefault="00F306F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F25D5"/>
    <w:rsid w:val="00252CEC"/>
    <w:rsid w:val="002D5987"/>
    <w:rsid w:val="00326A14"/>
    <w:rsid w:val="00371F9A"/>
    <w:rsid w:val="003752F7"/>
    <w:rsid w:val="0039666B"/>
    <w:rsid w:val="00437F5E"/>
    <w:rsid w:val="00484D54"/>
    <w:rsid w:val="005128DD"/>
    <w:rsid w:val="00516313"/>
    <w:rsid w:val="00560C44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7F260F"/>
    <w:rsid w:val="00810DED"/>
    <w:rsid w:val="008130A0"/>
    <w:rsid w:val="00832ACF"/>
    <w:rsid w:val="00884268"/>
    <w:rsid w:val="00910A7F"/>
    <w:rsid w:val="00912762"/>
    <w:rsid w:val="00921677"/>
    <w:rsid w:val="0097366E"/>
    <w:rsid w:val="009758CD"/>
    <w:rsid w:val="009920D2"/>
    <w:rsid w:val="009964D8"/>
    <w:rsid w:val="009A10CA"/>
    <w:rsid w:val="009D3BFA"/>
    <w:rsid w:val="00A524A0"/>
    <w:rsid w:val="00A52996"/>
    <w:rsid w:val="00A55641"/>
    <w:rsid w:val="00A63A62"/>
    <w:rsid w:val="00A8394F"/>
    <w:rsid w:val="00A83A40"/>
    <w:rsid w:val="00A91026"/>
    <w:rsid w:val="00AA694D"/>
    <w:rsid w:val="00AF44A9"/>
    <w:rsid w:val="00B347CB"/>
    <w:rsid w:val="00B45CD4"/>
    <w:rsid w:val="00B634A9"/>
    <w:rsid w:val="00B943B9"/>
    <w:rsid w:val="00BC4CD0"/>
    <w:rsid w:val="00BE5728"/>
    <w:rsid w:val="00C16FF6"/>
    <w:rsid w:val="00C2426B"/>
    <w:rsid w:val="00C46755"/>
    <w:rsid w:val="00C5361D"/>
    <w:rsid w:val="00C61E27"/>
    <w:rsid w:val="00D55BFB"/>
    <w:rsid w:val="00D62ED2"/>
    <w:rsid w:val="00D87FE5"/>
    <w:rsid w:val="00DD22DD"/>
    <w:rsid w:val="00DE3A9F"/>
    <w:rsid w:val="00E3530A"/>
    <w:rsid w:val="00E473D7"/>
    <w:rsid w:val="00E65A58"/>
    <w:rsid w:val="00F03E82"/>
    <w:rsid w:val="00F173BF"/>
    <w:rsid w:val="00F24889"/>
    <w:rsid w:val="00F306FC"/>
    <w:rsid w:val="00F31AC0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57</cp:revision>
  <dcterms:created xsi:type="dcterms:W3CDTF">2020-03-19T08:14:00Z</dcterms:created>
  <dcterms:modified xsi:type="dcterms:W3CDTF">2020-04-07T11:28:00Z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1586246949</vt:lpwstr>
  </property>
</Properties>
</file>