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2C646E"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2C646E"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C646E"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C646E"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39764643"/>
      <w:r w:rsidRPr="000868F4">
        <w:lastRenderedPageBreak/>
        <w:t>Аннотация</w:t>
      </w:r>
      <w:bookmarkEnd w:id="0"/>
    </w:p>
    <w:p w:rsidR="00DF3D70"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981D43" w:rsidRPr="003C38DD"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1" w:name="_Toc39764644"/>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39764647"/>
      <w:bookmarkEnd w:id="2"/>
      <w:bookmarkEnd w:id="3"/>
      <w:bookmarkEnd w:id="4"/>
      <w:bookmarkEnd w:id="5"/>
      <w:bookmarkEnd w:id="6"/>
      <w:bookmarkEnd w:id="7"/>
      <w:bookmarkEnd w:id="8"/>
      <w:r w:rsidRPr="00CE22EE">
        <w:lastRenderedPageBreak/>
        <w:t>Предпосылки создания метрики</w:t>
      </w:r>
      <w:bookmarkEnd w:id="9"/>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0" w:name="_Toc39764648"/>
      <w:r w:rsidRPr="00765631">
        <w:rPr>
          <w:lang w:val="ru-RU"/>
        </w:rPr>
        <w:t>Количественная оценка качества исходного кода репозитория</w:t>
      </w:r>
      <w:bookmarkEnd w:id="10"/>
    </w:p>
    <w:p w:rsidR="004F7B47" w:rsidRPr="0058209C"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1"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2" w:name="_Ref40964795"/>
      <w:bookmarkEnd w:id="11"/>
      <w:r w:rsidRPr="00792E7D">
        <w:rPr>
          <w:color w:val="auto"/>
          <w:sz w:val="28"/>
          <w:szCs w:val="28"/>
          <w:lang w:val="ru-RU"/>
        </w:rPr>
        <w:t>)</w:t>
      </w:r>
      <w:bookmarkEnd w:id="12"/>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r w:rsidR="00115629">
        <w:rPr>
          <w:szCs w:val="28"/>
        </w:rPr>
        <w:t>f</w:t>
      </w:r>
      <w:r w:rsidR="00115629" w:rsidRPr="00115629">
        <w:rPr>
          <w:szCs w:val="28"/>
          <w:vertAlign w:val="subscript"/>
        </w:rPr>
        <w:t>n</w:t>
      </w:r>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0B3EB1" w:rsidRPr="0058209C"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r w:rsidR="000B3EB1">
        <w:rPr>
          <w:szCs w:val="28"/>
          <w:lang w:val="ru-RU"/>
        </w:rPr>
        <w:t xml:space="preserve"> 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000B3EB1" w:rsidRPr="000B3EB1">
        <w:rPr>
          <w:szCs w:val="28"/>
          <w:lang w:val="ru-RU"/>
        </w:rPr>
        <w:t xml:space="preserve">: </w:t>
      </w:r>
    </w:p>
    <w:bookmarkStart w:id="13" w:name="_Ref40965018"/>
    <w:p w:rsidR="00C4391C" w:rsidRPr="00A47EBB" w:rsidRDefault="00410DDD"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3"/>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4"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4"/>
      <w:r w:rsidR="00C4391C" w:rsidRPr="008F63BB">
        <w:rPr>
          <w:i/>
          <w:szCs w:val="28"/>
          <w:lang w:val="ru-RU"/>
        </w:rPr>
        <w:t>)</w:t>
      </w:r>
    </w:p>
    <w:p w:rsidR="00CE3D99" w:rsidRPr="00CE3D99" w:rsidRDefault="0058209C" w:rsidP="00CE3D99">
      <w:pPr>
        <w:rPr>
          <w:szCs w:val="28"/>
          <w:lang w:val="ru-RU"/>
        </w:rPr>
      </w:pPr>
      <w:bookmarkStart w:id="15" w:name="_Ref40965164"/>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5"/>
      <w:r w:rsidR="00CE3D99" w:rsidRPr="008F63BB">
        <w:rPr>
          <w:i/>
          <w:lang w:val="ru-RU"/>
        </w:rPr>
        <w:t>)</w:t>
      </w:r>
    </w:p>
    <w:p w:rsidR="004F7B47" w:rsidRPr="00765631" w:rsidRDefault="004F7B47" w:rsidP="00B864FC">
      <w:pPr>
        <w:pStyle w:val="Heading1"/>
        <w:rPr>
          <w:lang w:val="ru-RU"/>
        </w:rPr>
      </w:pPr>
      <w:bookmarkStart w:id="16" w:name="_Toc39764649"/>
      <w:r w:rsidRPr="00765631">
        <w:rPr>
          <w:lang w:val="ru-RU"/>
        </w:rPr>
        <w:t>Поиск взаимосвязей между метриками репозитория.</w:t>
      </w:r>
      <w:bookmarkEnd w:id="16"/>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lastRenderedPageBreak/>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subscribers</w:t>
      </w:r>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7" w:name="_Ref40963572"/>
      <w:r w:rsidRPr="00670318">
        <w:rPr>
          <w:lang w:val="ru-RU"/>
        </w:rPr>
        <w:lastRenderedPageBreak/>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7"/>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8" w:name="_Toc39764650"/>
      <w:r w:rsidRPr="00765631">
        <w:rPr>
          <w:lang w:val="ru-RU"/>
        </w:rPr>
        <w:t>Распределение статистики качества кода репозитория в зависимости от языка программирования.</w:t>
      </w:r>
      <w:bookmarkEnd w:id="18"/>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19"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19"/>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0" w:name="_Toc39764651"/>
      <w:r w:rsidRPr="00765631">
        <w:rPr>
          <w:lang w:val="ru-RU"/>
        </w:rPr>
        <w:lastRenderedPageBreak/>
        <w:t>Гистограмма распределения статистики качества кода репозитория.</w:t>
      </w:r>
      <w:bookmarkEnd w:id="20"/>
    </w:p>
    <w:p w:rsidR="00D341A4" w:rsidRDefault="00D341A4" w:rsidP="00D341A4">
      <w:pPr>
        <w:pStyle w:val="Caption"/>
        <w:keepNext/>
        <w:jc w:val="right"/>
      </w:pPr>
      <w:bookmarkStart w:id="21"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1"/>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2" w:name="_Toc39764646"/>
      <w:bookmarkStart w:id="23" w:name="_Toc39764652"/>
      <w:bookmarkStart w:id="24" w:name="_Ref41315425"/>
      <w:bookmarkStart w:id="25" w:name="_Ref41315444"/>
      <w:r w:rsidRPr="00CE22EE">
        <w:rPr>
          <w:lang w:val="ru-RU"/>
        </w:rPr>
        <w:t>Метрики используемые для анализа качества кода.</w:t>
      </w:r>
      <w:bookmarkEnd w:id="22"/>
      <w:bookmarkEnd w:id="24"/>
      <w:bookmarkEnd w:id="25"/>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r w:rsidRPr="00765631">
        <w:rPr>
          <w:lang w:val="ru-RU"/>
        </w:rPr>
        <w:t>Поиск взаимосвязей между волатильностью репозитория и качеством кода.</w:t>
      </w:r>
      <w:bookmarkEnd w:id="23"/>
    </w:p>
    <w:p w:rsidR="004F7B47" w:rsidRPr="00A55641" w:rsidRDefault="004F7B47" w:rsidP="004F7B47">
      <w:pPr>
        <w:keepNext/>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E6332E" w:rsidRDefault="004F7B47" w:rsidP="004F7B47">
      <w:pPr>
        <w:rPr>
          <w:szCs w:val="28"/>
          <w:lang w:val="ru-RU"/>
        </w:rPr>
      </w:pPr>
      <w:r>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Pr="00EB453E">
        <w:rPr>
          <w:b/>
          <w:szCs w:val="28"/>
          <w:lang w:val="ru-RU"/>
        </w:rPr>
        <w:t>%</w:t>
      </w:r>
      <w:r>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E6332E" w:rsidRDefault="00517651" w:rsidP="00385884">
      <w:pPr>
        <w:spacing w:before="600" w:after="10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column">
                  <wp:posOffset>3815080</wp:posOffset>
                </wp:positionH>
                <wp:positionV relativeFrom="paragraph">
                  <wp:posOffset>380365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854B7" id="_x0000_t202" coordsize="21600,21600" o:spt="202" path="m,l,21600r21600,l21600,xe">
                <v:stroke joinstyle="miter"/>
                <v:path gradientshapeok="t" o:connecttype="rect"/>
              </v:shapetype>
              <v:shape id="Text Box 12" o:spid="_x0000_s1026" type="#_x0000_t202" style="position:absolute;left:0;text-align:left;margin-left:300.4pt;margin-top:29.95pt;width:20.3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" stroked="f">
                <v:textbox inset="0,0,0,0">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2085175</wp:posOffset>
                </wp:positionH>
                <wp:positionV relativeFrom="paragraph">
                  <wp:posOffset>396737</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E8A35" id="Text Box 11" o:spid="_x0000_s1027" type="#_x0000_t202" style="position:absolute;left:0;text-align:left;margin-left:164.2pt;margin-top:31.25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" stroked="f">
                <v:textbox inset="0,0,0,0">
                  <w:txbxContent>
                    <w:p w:rsidR="00F04A19" w:rsidRPr="00457611" w:rsidRDefault="00F04A19"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00457611"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F04A19">
        <w:rPr>
          <w:noProof/>
        </w:rPr>
        <w:drawing>
          <wp:anchor distT="0" distB="0" distL="114300" distR="114300" simplePos="0" relativeHeight="251659264" behindDoc="0" locked="0" layoutInCell="1" allowOverlap="1">
            <wp:simplePos x="0" y="0"/>
            <wp:positionH relativeFrom="column">
              <wp:posOffset>3023732</wp:posOffset>
            </wp:positionH>
            <wp:positionV relativeFrom="paragraph">
              <wp:posOffset>158695</wp:posOffset>
            </wp:positionV>
            <wp:extent cx="730800" cy="892800"/>
            <wp:effectExtent l="0" t="0" r="0" b="3175"/>
            <wp:wrapSquare wrapText="bothSides"/>
            <wp:docPr id="9" name="Picture 9" descr="http://statistica.ru/upload/medialibrary/550/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stica.ru/upload/medialibrary/550/x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800" cy="8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32E">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121342</wp:posOffset>
            </wp:positionV>
            <wp:extent cx="1994400" cy="907200"/>
            <wp:effectExtent l="0" t="0" r="6350" b="7620"/>
            <wp:wrapSquare wrapText="bothSides"/>
            <wp:docPr id="7" name="Picture 7" descr="коэффициент корре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эффициент корреля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400" cy="90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32E">
        <w:rPr>
          <w:szCs w:val="28"/>
          <w:lang w:val="ru-RU"/>
        </w:rPr>
        <w:t xml:space="preserve">где     </w:t>
      </w:r>
    </w:p>
    <w:p w:rsidR="00DD2C20" w:rsidRDefault="00DD2C20" w:rsidP="00DD2C20">
      <w:pPr>
        <w:spacing w:before="720"/>
        <w:rPr>
          <w:szCs w:val="28"/>
          <w:lang w:val="ru-RU"/>
        </w:rPr>
      </w:pPr>
      <w:r>
        <w:rPr>
          <w:szCs w:val="28"/>
        </w:rPr>
        <w:t>T</w:t>
      </w:r>
      <w:r w:rsidRPr="00DD2C20">
        <w:rPr>
          <w:szCs w:val="28"/>
          <w:lang w:val="ru-RU"/>
        </w:rPr>
        <w:t xml:space="preserve"> – </w:t>
      </w:r>
      <w:r>
        <w:rPr>
          <w:szCs w:val="28"/>
          <w:lang w:val="ru-RU"/>
        </w:rPr>
        <w:t xml:space="preserve">статистика для </w:t>
      </w:r>
      <w:r>
        <w:rPr>
          <w:szCs w:val="28"/>
        </w:rPr>
        <w:t>n</w:t>
      </w:r>
      <w:r w:rsidRPr="00DD2C20">
        <w:rPr>
          <w:szCs w:val="28"/>
          <w:lang w:val="ru-RU"/>
        </w:rPr>
        <w:t xml:space="preserve"> = 1025, </w:t>
      </w:r>
      <w:r>
        <w:rPr>
          <w:szCs w:val="28"/>
        </w:rPr>
        <w:t>r</w:t>
      </w:r>
      <w:r w:rsidRPr="00DD2C20">
        <w:rPr>
          <w:szCs w:val="28"/>
          <w:lang w:val="ru-RU"/>
        </w:rPr>
        <w:t xml:space="preserve"> = 88.7</w:t>
      </w:r>
      <w:r w:rsidR="006F5B7C" w:rsidRPr="006F5B7C">
        <w:rPr>
          <w:noProof/>
          <w:lang w:val="ru-RU"/>
        </w:rPr>
        <w:t xml:space="preserve"> </w:t>
      </w:r>
      <w:r w:rsidRPr="00DD2C20">
        <w:rPr>
          <w:szCs w:val="28"/>
          <w:lang w:val="ru-RU"/>
        </w:rPr>
        <w:t xml:space="preserve">8% </w:t>
      </w:r>
      <w:r>
        <w:rPr>
          <w:szCs w:val="28"/>
          <w:lang w:val="ru-RU"/>
        </w:rPr>
        <w:t>вычисляется по формуле:</w:t>
      </w:r>
    </w:p>
    <w:p w:rsidR="00385884" w:rsidRDefault="00EB1E5A" w:rsidP="00385884">
      <w:pPr>
        <w:spacing w:before="600" w:after="36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1633220</wp:posOffset>
                </wp:positionH>
                <wp:positionV relativeFrom="paragraph">
                  <wp:posOffset>384175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6F5B7C" w:rsidRPr="00457611" w:rsidRDefault="006F5B7C" w:rsidP="006F5B7C">
                            <w:pPr>
                              <w:pStyle w:val="Caption"/>
                              <w:rPr>
                                <w:noProof/>
                                <w:color w:val="auto"/>
                                <w:sz w:val="28"/>
                                <w:szCs w:val="28"/>
                                <w:lang w:val="ru-RU"/>
                              </w:rPr>
                            </w:pPr>
                            <w:bookmarkStart w:id="26"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128.6pt;margin-top:30.2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" stroked="f">
                <v:textbox inset="0,0,0,0">
                  <w:txbxContent>
                    <w:p w:rsidR="006F5B7C" w:rsidRPr="00457611" w:rsidRDefault="006F5B7C" w:rsidP="006F5B7C">
                      <w:pPr>
                        <w:pStyle w:val="Caption"/>
                        <w:rPr>
                          <w:noProof/>
                          <w:color w:val="auto"/>
                          <w:sz w:val="28"/>
                          <w:szCs w:val="28"/>
                          <w:lang w:val="ru-RU"/>
                        </w:rPr>
                      </w:pPr>
                      <w:bookmarkStart w:id="26" w:name="_Ref41145867"/>
                      <w:bookmarkStart w:id="27" w:name="_GoBack"/>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6"/>
                      <w:bookmarkEnd w:id="27"/>
                    </w:p>
                  </w:txbxContent>
                </v:textbox>
                <w10:wrap type="through" anchorx="margin"/>
              </v:shape>
            </w:pict>
          </mc:Fallback>
        </mc:AlternateContent>
      </w:r>
      <w:r>
        <w:rPr>
          <w:noProof/>
        </w:rPr>
        <w:drawing>
          <wp:anchor distT="0" distB="0" distL="114300" distR="114300" simplePos="0" relativeHeight="251660288" behindDoc="1" locked="0" layoutInCell="1" allowOverlap="1">
            <wp:simplePos x="0" y="0"/>
            <wp:positionH relativeFrom="margin">
              <wp:posOffset>-8255</wp:posOffset>
            </wp:positionH>
            <wp:positionV relativeFrom="margin">
              <wp:posOffset>7868920</wp:posOffset>
            </wp:positionV>
            <wp:extent cx="1536700" cy="619125"/>
            <wp:effectExtent l="0" t="0" r="6350" b="9525"/>
            <wp:wrapThrough wrapText="bothSides">
              <wp:wrapPolygon edited="0">
                <wp:start x="0" y="0"/>
                <wp:lineTo x="0" y="21268"/>
                <wp:lineTo x="21421" y="21268"/>
                <wp:lineTo x="21421" y="0"/>
                <wp:lineTo x="0" y="0"/>
              </wp:wrapPolygon>
            </wp:wrapThrough>
            <wp:docPr id="8" name="Picture 8" descr="Convert correlation coefficient to t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correlation coefficient to t statis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C20">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w:t>
      </w:r>
      <w:r w:rsidR="00DD2C20">
        <w:rPr>
          <w:szCs w:val="28"/>
          <w:lang w:val="ru-RU"/>
        </w:rPr>
        <w:lastRenderedPageBreak/>
        <w:t xml:space="preserve">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7" w:name="_Toc39764645"/>
      <w:bookmarkStart w:id="28" w:name="_Toc109537482"/>
      <w:bookmarkStart w:id="29"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7"/>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28"/>
      <w:bookmarkEnd w:id="29"/>
    </w:p>
    <w:p w:rsidR="004F7B47" w:rsidRPr="004F7B47" w:rsidRDefault="004F7B47" w:rsidP="00DD2C20">
      <w:pPr>
        <w:pStyle w:val="Heading1"/>
        <w:spacing w:after="120"/>
      </w:pPr>
      <w:bookmarkStart w:id="30" w:name="_Toc39764653"/>
      <w:r w:rsidRPr="004F7B47">
        <w:t>Заключение</w:t>
      </w:r>
      <w:bookmarkEnd w:id="30"/>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bookmarkStart w:id="31" w:name="_GoBack"/>
      <w:bookmarkEnd w:id="31"/>
    </w:p>
    <w:p w:rsidR="00371150" w:rsidRPr="00812F80" w:rsidRDefault="00105828" w:rsidP="00B864FC">
      <w:pPr>
        <w:pStyle w:val="Heading1"/>
        <w:numPr>
          <w:ilvl w:val="0"/>
          <w:numId w:val="0"/>
        </w:numPr>
        <w:ind w:left="438"/>
        <w:rPr>
          <w:lang w:val="ru-RU"/>
        </w:rPr>
      </w:pPr>
      <w:r w:rsidRPr="00CE22EE">
        <w:rPr>
          <w:lang w:val="ru-RU"/>
        </w:rPr>
        <w:br w:type="page"/>
      </w:r>
      <w:bookmarkStart w:id="32" w:name="_Toc39764654"/>
      <w:r w:rsidR="00CE22EE" w:rsidRPr="00CE22EE">
        <w:lastRenderedPageBreak/>
        <w:t>Литература</w:t>
      </w:r>
      <w:bookmarkEnd w:id="32"/>
      <w:r w:rsidR="00812F80">
        <w:rPr>
          <w:lang w:val="ru-RU"/>
        </w:rPr>
        <w:t>, ссылки</w:t>
      </w:r>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3" w:name="_Ref38613892"/>
      <w:r w:rsidRPr="003F624F">
        <w:rPr>
          <w:szCs w:val="28"/>
          <w:lang w:val="ru-RU"/>
        </w:rPr>
        <w:t>ТЕОРИЯ СТАТИСТИКИ. УЧЕБНИК. Под ред. Громыко Г.Л. М.: ИНФРА-М, 2010</w:t>
      </w:r>
      <w:bookmarkEnd w:id="3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4" w:name="_Ref39146311"/>
      <w:r w:rsidRPr="002E387A">
        <w:rPr>
          <w:szCs w:val="28"/>
        </w:rPr>
        <w:t xml:space="preserve">Git Pocket </w:t>
      </w:r>
      <w:r w:rsidRPr="00367415">
        <w:rPr>
          <w:szCs w:val="28"/>
        </w:rPr>
        <w:t>Guide: A Working Introduction, Richard E. Silverman, O'Reilly Media; 1st edition 2013</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3"/>
      <w:r w:rsidRPr="00367415">
        <w:rPr>
          <w:szCs w:val="28"/>
        </w:rPr>
        <w:t xml:space="preserve">Pro Git, Scott Chacon, </w:t>
      </w:r>
      <w:r w:rsidRPr="00367415">
        <w:rPr>
          <w:rFonts w:hint="eastAsia"/>
          <w:szCs w:val="28"/>
        </w:rPr>
        <w:t>Apress; 1st edition, 2009</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6"/>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7"/>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9057022"/>
      <w:r w:rsidRPr="0095604C">
        <w:rPr>
          <w:szCs w:val="28"/>
        </w:rPr>
        <w:t>Software Metrics, Fenton, NE and Pfleeger, SL, Boston, MA: International Thompson Publishing, 1997</w:t>
      </w:r>
      <w:bookmarkEnd w:id="38"/>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39"/>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5254"/>
      <w:r w:rsidRPr="00564A9C">
        <w:rPr>
          <w:szCs w:val="28"/>
        </w:rPr>
        <w:t>Code Churn: A measure for estimating the impact of code change, Munson, John C and Elbaum, Sebastian G, 1998</w:t>
      </w:r>
      <w:bookmarkEnd w:id="40"/>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3"/>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4"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4"/>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5"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5"/>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6"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6"/>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7"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5"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7"/>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7"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8"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9"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20"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21"/>
      <w:footerReference w:type="default" r:id="rId22"/>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DD" w:rsidRDefault="00410DDD">
      <w:r>
        <w:separator/>
      </w:r>
    </w:p>
  </w:endnote>
  <w:endnote w:type="continuationSeparator" w:id="0">
    <w:p w:rsidR="00410DDD" w:rsidRDefault="0041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Pr="00874769" w:rsidRDefault="00D40207" w:rsidP="00B47AE0">
    <w:pPr>
      <w:pStyle w:val="aa"/>
      <w:tabs>
        <w:tab w:val="center" w:pos="4510"/>
        <w:tab w:val="right" w:pos="9020"/>
      </w:tabs>
      <w:rPr>
        <w:lang w:val="ru-RU"/>
      </w:rPr>
    </w:pPr>
    <w:r>
      <w:tab/>
    </w:r>
    <w:r w:rsidR="00652360" w:rsidRPr="00874769">
      <w:rPr>
        <w:lang w:val="ru-RU"/>
      </w:rPr>
      <w:t>Для внутреннего использования</w:t>
    </w:r>
    <w:r w:rsidRPr="00874769">
      <w:rPr>
        <w:lang w:val="ru-RU"/>
      </w:rPr>
      <w:tab/>
    </w:r>
    <w:r w:rsidR="00652360" w:rsidRPr="00874769">
      <w:rPr>
        <w:lang w:val="ru-RU"/>
      </w:rPr>
      <w:t>стр.</w:t>
    </w:r>
    <w:r w:rsidR="00705878" w:rsidRPr="00652360">
      <w:fldChar w:fldCharType="begin"/>
    </w:r>
    <w:r w:rsidR="00705878" w:rsidRPr="00652360">
      <w:instrText>page</w:instrText>
    </w:r>
    <w:r w:rsidR="00705878" w:rsidRPr="00874769">
      <w:rPr>
        <w:lang w:val="ru-RU"/>
      </w:rPr>
      <w:instrText xml:space="preserve">  \* </w:instrText>
    </w:r>
    <w:r w:rsidR="00705878" w:rsidRPr="00652360">
      <w:instrText>MERGEFORMAT</w:instrText>
    </w:r>
    <w:r w:rsidR="00705878" w:rsidRPr="00652360">
      <w:fldChar w:fldCharType="separate"/>
    </w:r>
    <w:r w:rsidR="00AC655F" w:rsidRPr="00AC655F">
      <w:rPr>
        <w:noProof/>
        <w:lang w:val="ru-RU"/>
      </w:rPr>
      <w:t>17</w:t>
    </w:r>
    <w:r w:rsidR="00705878" w:rsidRPr="00652360">
      <w:rPr>
        <w:noProof/>
      </w:rPr>
      <w:fldChar w:fldCharType="end"/>
    </w:r>
    <w:r w:rsidRPr="00874769">
      <w:rPr>
        <w:lang w:val="ru-RU"/>
      </w:rPr>
      <w:t>，</w:t>
    </w:r>
    <w:r w:rsidR="00652360" w:rsidRPr="00874769">
      <w:rPr>
        <w:lang w:val="ru-RU"/>
      </w:rPr>
      <w:t>всего</w:t>
    </w:r>
    <w:r w:rsidR="0081009B" w:rsidRPr="00652360">
      <w:rPr>
        <w:noProof/>
      </w:rPr>
      <w:fldChar w:fldCharType="begin"/>
    </w:r>
    <w:r w:rsidR="0081009B" w:rsidRPr="00652360">
      <w:rPr>
        <w:noProof/>
      </w:rPr>
      <w:instrText>numpages</w:instrText>
    </w:r>
    <w:r w:rsidR="0081009B" w:rsidRPr="00874769">
      <w:rPr>
        <w:noProof/>
        <w:lang w:val="ru-RU"/>
      </w:rPr>
      <w:instrText xml:space="preserve">  \* </w:instrText>
    </w:r>
    <w:r w:rsidR="0081009B" w:rsidRPr="00652360">
      <w:rPr>
        <w:noProof/>
      </w:rPr>
      <w:instrText>MERGEFORMAT</w:instrText>
    </w:r>
    <w:r w:rsidR="0081009B" w:rsidRPr="00652360">
      <w:rPr>
        <w:noProof/>
      </w:rPr>
      <w:fldChar w:fldCharType="separate"/>
    </w:r>
    <w:r w:rsidR="00AC655F" w:rsidRPr="00AC655F">
      <w:rPr>
        <w:noProof/>
        <w:lang w:val="ru-RU"/>
      </w:rPr>
      <w:t>17</w:t>
    </w:r>
    <w:r w:rsidR="0081009B" w:rsidRPr="00652360">
      <w:rPr>
        <w:noProof/>
      </w:rPr>
      <w:fldChar w:fldCharType="end"/>
    </w:r>
    <w:r w:rsidRPr="00874769">
      <w:rPr>
        <w:lang w:val="ru-RU"/>
      </w:rPr>
      <w:t xml:space="preserve">  </w:t>
    </w:r>
  </w:p>
  <w:p w:rsidR="00D40207" w:rsidRPr="00874769" w:rsidRDefault="00D40207">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DD" w:rsidRDefault="00410DDD">
      <w:r>
        <w:separator/>
      </w:r>
    </w:p>
  </w:footnote>
  <w:footnote w:type="continuationSeparator" w:id="0">
    <w:p w:rsidR="00410DDD" w:rsidRDefault="00410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Pr="004035FA" w:rsidRDefault="004035FA"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D40207" w:rsidRPr="004035FA" w:rsidRDefault="004035FA" w:rsidP="00755C07">
          <w:pPr>
            <w:pStyle w:val="Header"/>
            <w:jc w:val="right"/>
            <w:rPr>
              <w:rFonts w:ascii="Times New Roman" w:hAnsi="Times New Roman"/>
            </w:rPr>
          </w:pPr>
          <w:r w:rsidRPr="004035FA">
            <w:rPr>
              <w:rFonts w:ascii="Times New Roman" w:hAnsi="Times New Roman"/>
            </w:rPr>
            <w:t>СЕКРЕТНО</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59C9"/>
    <w:rsid w:val="002D5FDF"/>
    <w:rsid w:val="002E76AF"/>
    <w:rsid w:val="002F2DCD"/>
    <w:rsid w:val="002F3187"/>
    <w:rsid w:val="00305F1D"/>
    <w:rsid w:val="003137B1"/>
    <w:rsid w:val="00314CB7"/>
    <w:rsid w:val="00315977"/>
    <w:rsid w:val="00324AB6"/>
    <w:rsid w:val="00327B1A"/>
    <w:rsid w:val="003316EC"/>
    <w:rsid w:val="003557B6"/>
    <w:rsid w:val="0037072D"/>
    <w:rsid w:val="00371150"/>
    <w:rsid w:val="00371783"/>
    <w:rsid w:val="00374004"/>
    <w:rsid w:val="00375CAB"/>
    <w:rsid w:val="00380C4A"/>
    <w:rsid w:val="00385884"/>
    <w:rsid w:val="00393030"/>
    <w:rsid w:val="0039333C"/>
    <w:rsid w:val="00394B3D"/>
    <w:rsid w:val="00397343"/>
    <w:rsid w:val="003A0D66"/>
    <w:rsid w:val="003A560D"/>
    <w:rsid w:val="003B3CA7"/>
    <w:rsid w:val="003B47C2"/>
    <w:rsid w:val="003B4A27"/>
    <w:rsid w:val="003B52E3"/>
    <w:rsid w:val="003B5881"/>
    <w:rsid w:val="003C0DD4"/>
    <w:rsid w:val="003C38DD"/>
    <w:rsid w:val="003D45BB"/>
    <w:rsid w:val="003E03C6"/>
    <w:rsid w:val="003E706D"/>
    <w:rsid w:val="003E7138"/>
    <w:rsid w:val="003F077D"/>
    <w:rsid w:val="004008AC"/>
    <w:rsid w:val="004035FA"/>
    <w:rsid w:val="00403B53"/>
    <w:rsid w:val="00404D47"/>
    <w:rsid w:val="00410DDD"/>
    <w:rsid w:val="00412E10"/>
    <w:rsid w:val="00413185"/>
    <w:rsid w:val="00422A3D"/>
    <w:rsid w:val="0042366D"/>
    <w:rsid w:val="004249E6"/>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209C"/>
    <w:rsid w:val="00583CD0"/>
    <w:rsid w:val="00583D4D"/>
    <w:rsid w:val="00585C45"/>
    <w:rsid w:val="00591C33"/>
    <w:rsid w:val="00592461"/>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3403"/>
    <w:rsid w:val="0061562C"/>
    <w:rsid w:val="0062029B"/>
    <w:rsid w:val="006243FD"/>
    <w:rsid w:val="006245FC"/>
    <w:rsid w:val="00627305"/>
    <w:rsid w:val="00637D43"/>
    <w:rsid w:val="0064122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2045C"/>
    <w:rsid w:val="0082412C"/>
    <w:rsid w:val="0082510B"/>
    <w:rsid w:val="00827D65"/>
    <w:rsid w:val="008301F4"/>
    <w:rsid w:val="00833B55"/>
    <w:rsid w:val="00836E52"/>
    <w:rsid w:val="00840BF0"/>
    <w:rsid w:val="00842E73"/>
    <w:rsid w:val="008464E1"/>
    <w:rsid w:val="00850C54"/>
    <w:rsid w:val="00860968"/>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3BB"/>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4035"/>
    <w:rsid w:val="00B8516B"/>
    <w:rsid w:val="00B864FC"/>
    <w:rsid w:val="00B906C6"/>
    <w:rsid w:val="00B97AFE"/>
    <w:rsid w:val="00B97F2E"/>
    <w:rsid w:val="00BA41C0"/>
    <w:rsid w:val="00BA5B69"/>
    <w:rsid w:val="00BB477A"/>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46B5"/>
    <w:rsid w:val="00C45724"/>
    <w:rsid w:val="00C45D4E"/>
    <w:rsid w:val="00C47809"/>
    <w:rsid w:val="00C518E9"/>
    <w:rsid w:val="00C65BEC"/>
    <w:rsid w:val="00C72FC6"/>
    <w:rsid w:val="00C75256"/>
    <w:rsid w:val="00C765C6"/>
    <w:rsid w:val="00C80529"/>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496C"/>
    <w:rsid w:val="00F659B9"/>
    <w:rsid w:val="00F74669"/>
    <w:rsid w:val="00F7518B"/>
    <w:rsid w:val="00F7710D"/>
    <w:rsid w:val="00F772A4"/>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github.com/Jittor/jittor/tree/master/python/jittor/tes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github.com/Jittor/jittor/blob/master/python/jittor/optim.p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Kyusung4698/PoE-Overlay/tree/5ced41b3b9cd8fed250ca8253aea3f950770f5cc/src/app/modules/evaluate/component/evaluate-search-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st.pypi.org/project/volatility-zuoqin/0.0.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JohnSnowLabs/spark-nlp/tree/master/python/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2F8E-F3C9-428F-9AB7-02D3C41F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17</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47</cp:revision>
  <dcterms:created xsi:type="dcterms:W3CDTF">2020-05-21T06:51:00Z</dcterms:created>
  <dcterms:modified xsi:type="dcterms:W3CDTF">2020-05-25T13:14:00Z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1590411216</vt:lpwstr>
  </property>
</Properties>
</file>