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Overview</w:t>
      </w:r>
    </w:p>
    <w:p>
      <w:r>
        <w:t>This document describes our enterprise product features and pricing.</w:t>
      </w:r>
    </w:p>
    <w:p>
      <w:r>
        <w:t>Our platform supports multiple integrations including cloud storage, messaging apps, and development tools.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Features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$99/mo</w:t>
            </w:r>
          </w:p>
        </w:tc>
        <w:tc>
          <w:tcPr>
            <w:tcW w:type="dxa" w:w="2160"/>
          </w:tcPr>
          <w:p>
            <w:r>
              <w:t>Up to 10 users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$299/mo</w:t>
            </w:r>
          </w:p>
        </w:tc>
        <w:tc>
          <w:tcPr>
            <w:tcW w:type="dxa" w:w="2160"/>
          </w:tcPr>
          <w:p>
            <w:r>
              <w:t>Up to 50 users, API access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$999/mo</w:t>
            </w:r>
          </w:p>
        </w:tc>
        <w:tc>
          <w:tcPr>
            <w:tcW w:type="dxa" w:w="2160"/>
          </w:tcPr>
          <w:p>
            <w:r>
              <w:t>Unlimited users, SSO, SLA</w:t>
            </w:r>
          </w:p>
        </w:tc>
      </w:tr>
    </w:tbl>
    <w:p>
      <w:r>
        <w:t>Contact our sales team for custom enterprise pricing and deployment options.</w:t>
      </w:r>
    </w:p>
    <w:p>
      <w:r>
        <w:drawing>
          <wp:inline xmlns:a="http://schemas.openxmlformats.org/drawingml/2006/main" xmlns:pic="http://schemas.openxmlformats.org/drawingml/2006/picture">
            <wp:extent cx="381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