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Default="00097C88">
      <w:pPr>
        <w:jc w:val="center"/>
      </w:pPr>
      <w:r>
        <w:rPr>
          <w:rFonts w:ascii="Arial" w:hAnsi="Arial"/>
          <w:b/>
          <w:sz w:val="38"/>
        </w:rPr>
        <w:t>Auditing when evidence integration improves therapeutic target prioritization</w:t>
      </w:r>
    </w:p>
    <w:p w:rsidR="001707C3" w:rsidRDefault="00097C88">
      <w:pPr>
        <w:jc w:val="center"/>
      </w:pPr>
      <w:r>
        <w:rPr>
          <w:rFonts w:ascii="Arial" w:hAnsi="Arial"/>
        </w:rPr>
        <w:t>[Author names and affiliations]</w:t>
      </w:r>
    </w:p>
    <w:p w:rsidR="001707C3" w:rsidRDefault="00097C88">
      <w:pPr>
        <w:jc w:val="center"/>
      </w:pPr>
      <w:r>
        <w:rPr>
          <w:rFonts w:ascii="Arial" w:hAnsi="Arial"/>
        </w:rPr>
      </w:r>
    </w:p>
    <w:p w:rsidR="001707C3" w:rsidRDefault="00097C88">
      <w:pPr>
        <w:pStyle w:val="1"/>
        <w:spacing w:before="200" w:after="80"/>
      </w:pPr>
      <w:r>
        <w:t>Abstract</w:t>
      </w:r>
    </w:p>
    <w:p w:rsidR="001707C3" w:rsidRDefault="00097C88">
      <w:pPr>
        <w:spacing w:after="100"/>
        <w:jc w:val="left"/>
      </w:pPr>
      <w:r>
        <w:rPr>
          <w:rFonts w:ascii="Arial" w:hAnsi="Arial"/>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spanning labels defined outside the evidence base, constructed benchmarks and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endpoints whose labels were defined outside the evidence base,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Default="00097C88">
      <w:pPr>
        <w:spacing w:after="100"/>
        <w:jc w:val="left"/>
      </w:pPr>
      <w:r>
        <w:rPr>
          <w:rFonts w:ascii="Arial" w:hAnsi="Arial"/>
        </w:rP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Pr>
          <w:rFonts w:ascii="Arial" w:hAnsi="Arial"/>
          <w:vertAlign w:val="superscript"/>
        </w:rPr>
        <w:t>1–3</w:t>
      </w:r>
      <w:r>
        <w:rPr>
          <w:rFonts w:ascii="Arial" w:hAnsi="Arial"/>
        </w:rPr>
        <w:t>.</w:t>
      </w:r>
    </w:p>
    <w:p w:rsidR="001707C3" w:rsidRDefault="00097C88">
      <w:pPr>
        <w:spacing w:after="100"/>
        <w:jc w:val="left"/>
      </w:pPr>
      <w:r>
        <w:rPr>
          <w:rFonts w:ascii="Arial" w:hAnsi="Arial"/>
        </w:rPr>
        <w:t xml:space="preserve">This has made evidence integration increasingly common in cancer research. Genomic, transcriptomic, proteomic, network and pharmacological data are combined to capture complementary aspects of disease biology and therapeutic relevance </w:t>
      </w:r>
      <w:r>
        <w:rPr>
          <w:rFonts w:ascii="Arial" w:hAnsi="Arial"/>
          <w:vertAlign w:val="superscript"/>
        </w:rPr>
        <w:t>4–10</w:t>
      </w:r>
      <w:r>
        <w:rPr>
          <w:rFonts w:ascii="Arial" w:hAnsi="Arial"/>
        </w:rPr>
        <w:t xml:space="preserve">. Integration can improve predictive performance when different data modalities contribute non-redundant information, but benchmark studies show that its benefit depends on the data, task and evaluation setting </w:t>
      </w:r>
      <w:r>
        <w:rPr>
          <w:rFonts w:ascii="Arial" w:hAnsi="Arial"/>
          <w:vertAlign w:val="superscript"/>
        </w:rPr>
        <w:t>5–6,9–10</w:t>
      </w:r>
      <w:r>
        <w:rPr>
          <w:rFonts w:ascii="Arial" w:hAnsi="Arial"/>
        </w:rPr>
        <w:t>.</w:t>
      </w:r>
    </w:p>
    <w:p w:rsidR="001707C3" w:rsidRDefault="00097C88">
      <w:pPr>
        <w:spacing w:after="100"/>
        <w:jc w:val="left"/>
      </w:pPr>
      <w:r>
        <w:rPr>
          <w:rFonts w:ascii="Arial" w:hAnsi="Arial"/>
        </w:rP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Pr>
          <w:rFonts w:ascii="Arial" w:hAnsi="Arial"/>
          <w:vertAlign w:val="superscript"/>
        </w:rPr>
        <w:t>11–12</w:t>
      </w:r>
      <w:r>
        <w:rPr>
          <w:rFonts w:ascii="Arial" w:hAnsi="Arial"/>
        </w:rPr>
        <w:t xml:space="preserve">. This concern is particularly relevant to target prioritization, where labels such as essentiality, druggability or clinical development status may themselves be connected to the evidence used to rank targets </w:t>
      </w:r>
      <w:r>
        <w:rPr>
          <w:rFonts w:ascii="Arial" w:hAnsi="Arial"/>
          <w:vertAlign w:val="superscript"/>
        </w:rPr>
        <w:t>13–14</w:t>
      </w:r>
      <w:r>
        <w:rPr>
          <w:rFonts w:ascii="Arial" w:hAnsi="Arial"/>
        </w:rPr>
        <w:t>. A high score on such an endpoint may therefore reflect agreement with the way the endpoint was constructed rather than a general advantage of integrating evidence.</w:t>
      </w:r>
    </w:p>
    <w:p w:rsidR="001707C3" w:rsidRDefault="00097C88">
      <w:pPr>
        <w:spacing w:after="100"/>
        <w:jc w:val="left"/>
      </w:pPr>
      <w:r>
        <w:t>The key question is when evidence integration actually improves therapeutic target prioritization. We use pancreatic ductal adenocarcinoma (PDAC) as a testbed because it combines extensive functional-dependency data with genomic, network and pharmacological annotations 1–2,15–16,21.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5–6,9–10. This design distinguishes predictive evaluation from circular benchmark diagnostics and tests whether an integration advantage survives explicit challenges to evidence overlap and implementation choices.</w:t>
      </w:r>
    </w:p>
    <w:p w:rsidR="001707C3" w:rsidRDefault="00097C88">
      <w:pPr>
        <w:pStyle w:val="1"/>
        <w:spacing w:before="200" w:after="80"/>
      </w:pPr>
      <w:r>
        <w:t>Results</w:t>
      </w:r>
    </w:p>
    <w:p w:rsidR="001707C3" w:rsidRDefault="00097C88">
      <w:pPr>
        <w:pStyle w:val="21"/>
        <w:spacing w:before="140" w:after="80"/>
      </w:pPr>
      <w:r>
        <w:t>Six primary endpoints expose a dependence on endpoint prov</w:t>
      </w:r>
      <w:r>
        <w:t>enance</w:t>
      </w:r>
    </w:p>
    <w:p w:rsidR="001707C3" w:rsidRDefault="00097C88">
      <w:pPr>
        <w:spacing w:after="100"/>
      </w:pPr>
      <w:r>
        <w:rPr>
          <w:rFonts w:ascii="Arial" w:hAnsi="Arial"/>
        </w:rPr>
        <w:t xml:space="preserve">The benchmark comprised nine evidence layers spanning network topology, somatic mutation, model-organism knockout viability, population genetic constraint, cancer-driver annotation, disease-specific germline association, </w:t>
      </w:r>
      <w:r>
        <w:rPr>
          <w:rFonts w:ascii="Arial" w:hAnsi="Arial"/>
        </w:rPr>
        <w:lastRenderedPageBreak/>
        <w:t>chemical tractability, progn</w:t>
      </w:r>
      <w:r>
        <w:rPr>
          <w:rFonts w:ascii="Arial" w:hAnsi="Arial"/>
        </w:rPr>
        <w:t>ostic association and tissue specificity (Fig. 1a; Methods). We evaluated six primary endpoints with different provenance. E1 measured PDAC-wide dependency in DepMap 23Q2; E4 tested zero-shot transfer to colorectal cancer without refitting; E5 measured his</w:t>
      </w:r>
      <w:r>
        <w:rPr>
          <w:rFonts w:ascii="Arial" w:hAnsi="Arial"/>
        </w:rPr>
        <w:t>torical concordance with pancreatic-cancer clinical target development; and E6 defined a pharmacological-response proxy from GDSC. E3 was an essential-and-druggable construct, whereas E3-C used the tractability layer itself as the label. E2 and E3-A were r</w:t>
      </w:r>
      <w:r>
        <w:rPr>
          <w:rFonts w:ascii="Arial" w:hAnsi="Arial"/>
        </w:rPr>
        <w:t>etained for continuity but were not treated as independent endpoints: E2 is a stratification within E1, and E3-A reproduces the E1 positive set exactly (Fig. 1b; Supplementary Table 2). Two operational definitions of pancreatic essentiality differed by one</w:t>
      </w:r>
      <w:r>
        <w:rPr>
          <w:rFonts w:ascii="Arial" w:hAnsi="Arial"/>
        </w:rPr>
        <w:t xml:space="preserve"> gene; this discrepancy is documented in the audit ledger (Supplementary Table 1).</w:t>
      </w:r>
    </w:p>
    <w:p w:rsidR="001707C3" w:rsidRDefault="00097C88">
      <w:pPr>
        <w:pStyle w:val="21"/>
        <w:spacing w:before="140" w:after="80"/>
      </w:pPr>
      <w:r>
        <w:t>Network centrality is the strongest fixed-form baseline on labels defined outside the evidence base</w:t>
      </w:r>
    </w:p>
    <w:p w:rsidR="001707C3" w:rsidRDefault="00097C88">
      <w:pPr>
        <w:spacing w:after="100"/>
        <w:jc w:val="left"/>
      </w:pPr>
      <w:r>
        <w:rPr>
          <w:rFonts w:ascii="Arial" w:hAnsi="Arial"/>
        </w:rP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indicating that nonlinear reweighting can extract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Pr>
          <w:rFonts w:ascii="Arial" w:hAnsi="Arial"/>
          <w:vertAlign w:val="superscript"/>
        </w:rPr>
        <w:t>5–6,9–10</w:t>
      </w:r>
      <w:r>
        <w:rPr>
          <w:rFonts w:ascii="Arial" w:hAnsi="Arial"/>
        </w:rPr>
        <w:t>.</w:t>
      </w:r>
    </w:p>
    <w:p w:rsidR="001707C3" w:rsidRDefault="00097C88">
      <w:pPr>
        <w:pStyle w:val="21"/>
        <w:spacing w:before="140" w:after="80"/>
      </w:pPr>
      <w:r>
        <w:t>Integration gains disappear when label-embedded evidence is re</w:t>
      </w:r>
      <w:r>
        <w:t>moved</w:t>
      </w:r>
    </w:p>
    <w:p w:rsidR="001707C3" w:rsidRDefault="00097C88">
      <w:pPr>
        <w:spacing w:after="100"/>
      </w:pPr>
      <w:r>
        <w:rPr>
          <w:rFonts w:ascii="Arial" w:hAnsi="Arial"/>
        </w:rPr>
        <w:t>Fixed-form integration exceeded network centrality only on E3 and E3-C, the two endpoints in which the evaluation label contained an input layer (Fig. 3). On E3, the harmonic composite reached an AUROC of 0.893 versus 0.738 for centrality; on E3-C, i</w:t>
      </w:r>
      <w:r>
        <w:rPr>
          <w:rFonts w:ascii="Arial" w:hAnsi="Arial"/>
        </w:rPr>
        <w:t>t reached 0.936 versus 0.620. Decomposition of the harmonic score showed that the support term alone achieved 0.889 on E3, within 0.003 of the full composite. Removing the druggability layer reduced this value to 0.535. On E3-C, the same deletion reduced t</w:t>
      </w:r>
      <w:r>
        <w:rPr>
          <w:rFonts w:ascii="Arial" w:hAnsi="Arial"/>
        </w:rPr>
        <w:t>he support mean from 0.968 to 0.534. Conversely, removing druggability from the support term did not degrade performance on E5 (0.927 to 0.943) and reduced it on E6 (0.843 to 0.778). E3-C also produced AUROCs above 0.999 for four scorers, consistent with a</w:t>
      </w:r>
      <w:r>
        <w:rPr>
          <w:rFonts w:ascii="Arial" w:hAnsi="Arial"/>
        </w:rPr>
        <w:t xml:space="preserve"> label-as-input control rather than predictive generalization (Fig. 4). These comparisons localize the apparent integration advantage to the layer embedded in the endpoint definition.</w:t>
      </w:r>
    </w:p>
    <w:p w:rsidR="001707C3" w:rsidRDefault="00097C88">
      <w:pPr>
        <w:pStyle w:val="21"/>
        <w:spacing w:before="140" w:after="80"/>
      </w:pPr>
      <w:r>
        <w:t xml:space="preserve">Missing-data encoding and combination algebra can reverse the effect of </w:t>
      </w:r>
      <w:r>
        <w:t>integration</w:t>
      </w:r>
    </w:p>
    <w:p w:rsidR="001707C3" w:rsidRDefault="00097C88">
      <w:pPr>
        <w:spacing w:after="100"/>
        <w:jc w:val="left"/>
      </w:pPr>
      <w:r>
        <w:rPr>
          <w:rFonts w:ascii="Arial" w:hAnsi="Arial"/>
        </w:rP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Pr>
          <w:rFonts w:ascii="Arial" w:hAnsi="Arial"/>
          <w:vertAlign w:val="superscript"/>
        </w:rPr>
        <w:t>15</w:t>
      </w:r>
      <w:r>
        <w:rPr>
          <w:rFonts w:ascii="Arial" w:hAnsi="Arial"/>
        </w:rPr>
        <w:t>.</w:t>
      </w:r>
    </w:p>
    <w:p w:rsidR="001707C3" w:rsidRDefault="00097C88">
      <w:pPr>
        <w:pStyle w:val="21"/>
        <w:spacing w:before="140" w:after="80"/>
      </w:pPr>
      <w:r>
        <w:t>Integration is sensitive to weighting and functional form</w:t>
      </w:r>
    </w:p>
    <w:p w:rsidR="001707C3" w:rsidRDefault="00097C88">
      <w:pPr>
        <w:spacing w:after="100"/>
      </w:pPr>
      <w:r>
        <w:rPr>
          <w:rFonts w:ascii="Arial" w:hAnsi="Arial"/>
        </w:rPr>
        <w:t xml:space="preserve">Across 1,000 </w:t>
      </w:r>
      <w:r>
        <w:rPr>
          <w:rFonts w:ascii="Arial" w:hAnsi="Arial"/>
        </w:rPr>
        <w:t>symmetric Dirichlet draws on E3, the composite had a mean AUROC of 0.333, a median of 0.288 and an interquartile range of 0.251-0.365; 91.2% of draws performed below chance and only 3.2% exceeded the centrality baseline of 0.738. The prespecified 0.8/0.1/0</w:t>
      </w:r>
      <w:r>
        <w:rPr>
          <w:rFonts w:ascii="Arial" w:hAnsi="Arial"/>
        </w:rPr>
        <w:t xml:space="preserve">.1 weighting achieved 0.693, also below centrality (Fig. 5b). Holding the layers and weights fixed while changing only the aggregation rule moved E3 AUROC from 0.893 for the harmonic mean to 0.825 for the additive mean, 0.758 for the geometric mean, 0.693 </w:t>
      </w:r>
      <w:r>
        <w:rPr>
          <w:rFonts w:ascii="Arial" w:hAnsi="Arial"/>
        </w:rPr>
        <w:t xml:space="preserve">for the multiplicative rule and 0.636 for rank aggregation (Fig. 5a). No aggregation rule was uniformly best across endpoints. Negative </w:t>
      </w:r>
      <w:r>
        <w:rPr>
          <w:rFonts w:ascii="Arial" w:hAnsi="Arial"/>
        </w:rPr>
        <w:lastRenderedPageBreak/>
        <w:t>controls further localized the signal: replacing tissue specificity with Gaussian noise increased E3 AUROC from 0.693 to</w:t>
      </w:r>
      <w:r>
        <w:rPr>
          <w:rFonts w:ascii="Arial" w:hAnsi="Arial"/>
        </w:rPr>
        <w:t xml:space="preserve"> 0.780, whereas permuting druggability reduced it to 0.434; shuffling the network layer had little effect (0.688). Community-level resampling gave a mean difference of -0.066 between the multiplicative composite and centrality (95% CI -0.450 to +0.092; Fig</w:t>
      </w:r>
      <w:r>
        <w:rPr>
          <w:rFonts w:ascii="Arial" w:hAnsi="Arial"/>
        </w:rPr>
        <w:t>. 3b).</w:t>
      </w:r>
    </w:p>
    <w:p w:rsidR="001707C3" w:rsidRDefault="00097C88">
      <w:pPr>
        <w:pStyle w:val="21"/>
        <w:spacing w:before="140" w:after="80"/>
      </w:pPr>
      <w:r>
        <w:t>Cross-context transfer and pharmacological response do not restore a fixed-form integration advantage</w:t>
      </w:r>
    </w:p>
    <w:p w:rsidR="001707C3" w:rsidRDefault="00097C88">
      <w:pPr>
        <w:spacing w:after="100"/>
        <w:jc w:val="left"/>
      </w:pPr>
      <w:r>
        <w:rPr>
          <w:rFonts w:ascii="Arial" w:hAnsi="Arial"/>
        </w:rP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(Fig. 6). Thus, a pharmacological-response proxy did not provide evidence for a fixed-form integration advantage. Studies of drug-response prediction likewise show that translating models from cell lines to tumours requires explicit transfer or validation rather than assuming transportability </w:t>
      </w:r>
      <w:r>
        <w:rPr>
          <w:rFonts w:ascii="Arial" w:hAnsi="Arial"/>
          <w:vertAlign w:val="superscript"/>
        </w:rPr>
        <w:t>16–18</w:t>
      </w:r>
      <w:r>
        <w:rPr>
          <w:rFonts w:ascii="Arial" w:hAnsi="Arial"/>
        </w:rPr>
        <w:t>.</w:t>
      </w:r>
    </w:p>
    <w:p w:rsidR="001707C3" w:rsidRDefault="00097C88">
      <w:pPr>
        <w:pStyle w:val="21"/>
        <w:spacing w:before="140" w:after="80"/>
      </w:pPr>
      <w:r>
        <w:t>Re-ranked genes remain prospective computational hypotheses</w:t>
      </w:r>
    </w:p>
    <w:p w:rsidR="001707C3" w:rsidRDefault="00097C88">
      <w:pPr>
        <w:spacing w:after="100"/>
      </w:pPr>
      <w:r>
        <w:rPr>
          <w:rFonts w:ascii="Arial" w:hAnsi="Arial"/>
        </w:rPr>
        <w:t>Nine</w:t>
      </w:r>
      <w:r>
        <w:rPr>
          <w:rFonts w:ascii="Arial" w:hAnsi="Arial"/>
        </w:rPr>
        <w:t xml:space="preserve"> genes previously reported as prioritized candidates were recomputed using the released pipeline and represented by genome-wide percentiles, druggability and dependency flags in PDAC and colorectal screens (Extended Data Fig. 4). Recomputing the harmonic c</w:t>
      </w:r>
      <w:r>
        <w:rPr>
          <w:rFonts w:ascii="Arial" w:hAnsi="Arial"/>
        </w:rPr>
        <w:t>omposite changed the order of six of the nine genes. The previously reported order could not be reproduced from either the recomputed composite or network centrality and was traced to an intermediate file outside the final analysis workflow. In light of th</w:t>
      </w:r>
      <w:r>
        <w:rPr>
          <w:rFonts w:ascii="Arial" w:hAnsi="Arial"/>
        </w:rPr>
        <w:t>e benchmark results, these genes are retained as prospective computational hypotheses rather than a validated target ranking.</w:t>
      </w:r>
    </w:p>
    <w:p w:rsidR="001707C3" w:rsidRDefault="00097C88">
      <w:pPr>
        <w:pStyle w:val="1"/>
        <w:spacing w:before="200" w:after="80"/>
      </w:pPr>
      <w:r>
        <w:t>Discussion</w:t>
      </w:r>
    </w:p>
    <w:p w:rsidR="001707C3" w:rsidRDefault="00097C88">
      <w:pPr>
        <w:spacing w:after="100"/>
        <w:jc w:val="left"/>
      </w:pPr>
      <w:r>
        <w:rPr>
          <w:rFonts w:ascii="Arial" w:hAnsi="Arial"/>
        </w:rPr>
        <w:t xml:space="preserve">Evidence integration is now a common strategy for computational target prioritization, reflecting the expectation that complementary molecular and pharmacological information should provide a more complete view of therapeutic relevance </w:t>
      </w:r>
      <w:r>
        <w:rPr>
          <w:rFonts w:ascii="Arial" w:hAnsi="Arial"/>
          <w:vertAlign w:val="superscript"/>
        </w:rPr>
        <w:t>4,7–8,13,14,19,20–21</w:t>
      </w:r>
      <w:r>
        <w:rPr>
          <w:rFonts w:ascii="Arial" w:hAnsi="Arial"/>
        </w:rPr>
        <w:t>. Our audit shows that this expectation is conditional. Across endpoints whose labels were defined outside the nine-layer evidence base,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pPr/>
      <w:r>
        <w:rPr>
          <w:rFonts w:ascii="Arial" w:hAnsi="Arial"/>
        </w:rPr>
        <w:t>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[4–6,9,10,17,18].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Default="00097C88">
      <w:pPr>
        <w:spacing w:after="100"/>
        <w:jc w:val="left"/>
      </w:pPr>
      <w:r>
        <w:rPr>
          <w:rFonts w:ascii="Arial" w:hAnsi="Arial"/>
        </w:rP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rFonts w:ascii="Arial" w:hAnsi="Arial"/>
          <w:vertAlign w:val="superscript"/>
        </w:rPr>
        <w:t>11–12</w:t>
      </w:r>
      <w:r>
        <w:rPr>
          <w:rFonts w:ascii="Arial" w:hAnsi="Arial"/>
        </w:rPr>
        <w:t xml:space="preserve">. Benchmarking studies in multimodal biology likewise show that task definition, preprocessing and modality composition can alter method rankings </w:t>
      </w:r>
      <w:r>
        <w:rPr>
          <w:rFonts w:ascii="Arial" w:hAnsi="Arial"/>
          <w:vertAlign w:val="superscript"/>
        </w:rPr>
        <w:t>5–6,9–10</w:t>
      </w:r>
      <w:r>
        <w:rPr>
          <w:rFonts w:ascii="Arial" w:hAnsi="Arial"/>
        </w:rPr>
        <w:t>. Endpoint provenance should therefore be reported alongside the dataset, model and metric rather than treated as an implicit detail of benchmark design.</w:t>
      </w:r>
    </w:p>
    <w:p w:rsidR="001707C3" w:rsidRDefault="00097C88">
      <w:pPr>
        <w:spacing w:after="100"/>
        <w:jc w:val="left"/>
      </w:pPr>
      <w:r>
        <w:rPr>
          <w:rFonts w:ascii="Arial" w:hAnsi="Arial"/>
        </w:rP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rFonts w:ascii="Arial" w:hAnsi="Arial"/>
          <w:vertAlign w:val="superscript"/>
        </w:rPr>
        <w:t>15</w:t>
      </w:r>
      <w:r>
        <w:rPr>
          <w:rFonts w:ascii="Arial" w:hAnsi="Arial"/>
        </w:rPr>
        <w:t>. Supervised integration and fixed-form evidence aggregation are better treated as distinct methodological classes rather than interchangeable examples of multi-evidence integration.</w:t>
      </w:r>
    </w:p>
    <w:p w:rsidR="001707C3" w:rsidRDefault="00097C88">
      <w:pPr>
        <w:spacing w:after="100"/>
        <w:jc w:val="left"/>
      </w:pPr>
      <w:r>
        <w:rPr>
          <w:rFonts w:ascii="Arial" w:hAnsi="Arial"/>
        </w:rP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rFonts w:ascii="Arial" w:hAnsi="Arial"/>
          <w:vertAlign w:val="superscript"/>
        </w:rPr>
        <w:t>11–12,21</w:t>
      </w:r>
      <w:r>
        <w:rPr>
          <w:rFonts w:ascii="Arial" w:hAnsi="Arial"/>
        </w:rPr>
        <w:t xml:space="preserve">. Prospective experimental validation of the candidate genes remains necessary, moving from computational prioritization to perturbation, pharmacological testing and model-system validation </w:t>
      </w:r>
      <w:r>
        <w:rPr>
          <w:rFonts w:ascii="Arial" w:hAnsi="Arial"/>
          <w:vertAlign w:val="superscript"/>
        </w:rPr>
        <w:t>20</w:t>
      </w:r>
      <w:r>
        <w:rPr>
          <w:rFonts w:ascii="Arial" w:hAnsi="Arial"/>
        </w:rPr>
        <w:t>.</w:t>
      </w:r>
    </w:p>
    <w:p w:rsidR="001707C3" w:rsidRDefault="00097C88">
      <w:pPr>
        <w:pStyle w:val="1"/>
        <w:spacing w:before="200" w:after="80"/>
      </w:pPr>
      <w:r>
        <w:t>Methods</w:t>
      </w:r>
    </w:p>
    <w:p w:rsidR="001707C3" w:rsidRDefault="00097C88">
      <w:pPr>
        <w:pStyle w:val="21"/>
        <w:spacing w:before="140" w:after="80"/>
      </w:pPr>
      <w:r>
        <w:t>Ethics and study design</w:t>
      </w:r>
    </w:p>
    <w:p w:rsidR="001707C3" w:rsidRDefault="00097C88">
      <w:pPr>
        <w:spacing w:after="100"/>
      </w:pPr>
      <w: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Default="00097C88">
      <w:pPr>
        <w:pStyle w:val="21"/>
        <w:spacing w:before="140" w:after="80"/>
      </w:pPr>
      <w:r>
        <w:t>Evidence layers</w:t>
      </w:r>
    </w:p>
    <w:p w:rsidR="001707C3" w:rsidRDefault="00097C88">
      <w:pPr>
        <w:spacing w:after="100"/>
        <w:jc w:val="left"/>
      </w:pPr>
      <w:r>
        <w:rPr>
          <w:rFonts w:ascii="Arial" w:hAnsi="Arial"/>
        </w:rPr>
        <w:t xml:space="preserve">Nine gene-level evidence layers were harmonised to HUGO Gene Nomenclature Committee (HGNC) symbols across 20,751 protein-coding genes defined by the intersection of STRING v12.0 and DepMap 23Q2: network degree centrality from STRING (confidence &gt;0.4) </w:t>
      </w:r>
      <w:r>
        <w:rPr>
          <w:rFonts w:ascii="Arial" w:hAnsi="Arial"/>
          <w:vertAlign w:val="superscript"/>
        </w:rPr>
        <w:t>22</w:t>
      </w:r>
      <w:r>
        <w:rPr>
          <w:rFonts w:ascii="Arial" w:hAnsi="Arial"/>
        </w:rPr>
        <w:t xml:space="preserve">; somatic mutation frequency from COSMIC and The Cancer Genome Atlas pancreatic adenocarcinoma (TCGA-PAAD) </w:t>
      </w:r>
      <w:r>
        <w:rPr>
          <w:rFonts w:ascii="Arial" w:hAnsi="Arial"/>
          <w:vertAlign w:val="superscript"/>
        </w:rPr>
        <w:t>23–24</w:t>
      </w:r>
      <w:r>
        <w:rPr>
          <w:rFonts w:ascii="Arial" w:hAnsi="Arial"/>
        </w:rPr>
        <w:t xml:space="preserve">; knockout viability from the International Mouse Phenotyping Consortium (IMPC); population genetic constraint from gnomAD using loss-of-function observed/expected upper-bound fraction (LOEUF)-derived measures </w:t>
      </w:r>
      <w:r>
        <w:rPr>
          <w:rFonts w:ascii="Arial" w:hAnsi="Arial"/>
          <w:vertAlign w:val="superscript"/>
        </w:rPr>
        <w:t>25</w:t>
      </w:r>
      <w:r>
        <w:rPr>
          <w:rFonts w:ascii="Arial" w:hAnsi="Arial"/>
        </w:rPr>
        <w:t xml:space="preserve">; cancer-driver annotation from the COSMIC Cancer Gene Census </w:t>
      </w:r>
      <w:r>
        <w:rPr>
          <w:rFonts w:ascii="Arial" w:hAnsi="Arial"/>
          <w:vertAlign w:val="superscript"/>
        </w:rPr>
        <w:t>23</w:t>
      </w:r>
      <w:r>
        <w:rPr>
          <w:rFonts w:ascii="Arial" w:hAnsi="Arial"/>
        </w:rPr>
        <w:t xml:space="preserve">; pancreatic-cancer germline association from Open Targets Genetics </w:t>
      </w:r>
      <w:r>
        <w:rPr>
          <w:rFonts w:ascii="Arial" w:hAnsi="Arial"/>
          <w:vertAlign w:val="superscript"/>
        </w:rPr>
        <w:t>26</w:t>
      </w:r>
      <w:r>
        <w:rPr>
          <w:rFonts w:ascii="Arial" w:hAnsi="Arial"/>
        </w:rPr>
        <w:t xml:space="preserve">; chemical tractability, referred to here as the tractability/druggability layer, from the Drug–Gene Interaction Database (DGIdb) and ChEMBL tiers </w:t>
      </w:r>
      <w:r>
        <w:rPr>
          <w:rFonts w:ascii="Arial" w:hAnsi="Arial"/>
          <w:vertAlign w:val="superscript"/>
        </w:rPr>
        <w:t>27–28</w:t>
      </w:r>
      <w:r>
        <w:rPr>
          <w:rFonts w:ascii="Arial" w:hAnsi="Arial"/>
        </w:rPr>
        <w:t xml:space="preserve">; pancreatic-cancer prognostic association from Human Protein Atlas; and RNA tissue specificity from Human Protein Atlas </w:t>
      </w:r>
      <w:r>
        <w:rPr>
          <w:rFonts w:ascii="Arial" w:hAnsi="Arial"/>
          <w:vertAlign w:val="superscript"/>
        </w:rPr>
        <w:t>29</w:t>
      </w:r>
      <w:r>
        <w:rPr>
          <w:rFonts w:ascii="Arial" w:hAnsi="Arial"/>
        </w:rPr>
        <w:t>. Each layer was min-max scaled to [0,1]. Genes absent from a source were assigned a sentinel value of -3.0. This encoding was retained to reproduce the evaluated configuration and was subsequently audited against a missingness-aware representation.</w:t>
      </w:r>
    </w:p>
    <w:p w:rsidR="001707C3" w:rsidRDefault="00097C88">
      <w:pPr>
        <w:pStyle w:val="21"/>
        <w:spacing w:before="140" w:after="80"/>
        <w:jc w:val="left"/>
      </w:pPr>
      <w:r>
        <w:t>Endpoints and provenance</w:t>
      </w:r>
    </w:p>
    <w:p w:rsidR="001707C3" w:rsidRDefault="00097C88">
      <w:pPr>
        <w:spacing w:after="100"/>
      </w:pPr>
      <w:r>
        <w:t xml:space="preserve">Eight operational endpoints were evaluated, of which six were treated as independent primary evaluation endpoints. E1 was PDAC-wide dependency, defined from DepMap 23Q2 Chronos gene effect in pancreatic cell lines below the essentiality threshold </w:t>
      </w:r>
      <w:r>
        <w:rPr>
          <w:vertAlign w:val="superscript"/>
        </w:rPr>
        <w:t>1–2</w:t>
      </w:r>
      <w:r>
        <w:t xml:space="preserve"> (4,584 positives). E2 was PDAC-enriched dependency, defined as the upper quartile of a PDAC-versus-other selectivity statistic among E1 positives (1,147 positives); because it is nested within E1, it was not counted as an independent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a gene was positive when it was the nominal target of a compound in the most sensitive tertile across 29 pancreatic cell lines and not in the most resistant tertile, yielding 32 positives </w:t>
      </w:r>
      <w:r>
        <w:rPr>
          <w:vertAlign w:val="superscript"/>
        </w:rPr>
        <w:t>30</w:t>
      </w:r>
      <w:r>
        <w:t>. E5 and E6 were defined outside the nine-layer evidence matrix but their target lists overlap the tractability layer; this overlap is documented in Supplementary Table 3.</w:t>
      </w:r>
    </w:p>
    <w:p w:rsidR="001707C3" w:rsidRDefault="00097C88">
      <w:pPr>
        <w:pStyle w:val="21"/>
        <w:spacing w:before="140" w:after="80"/>
      </w:pPr>
      <w:r>
        <w:t>Scoring strategies</w:t>
      </w:r>
    </w:p>
    <w:p w:rsidR="001707C3" w:rsidRDefault="00097C88">
      <w:pPr>
        <w:spacing w:after="100"/>
      </w:pPr>
      <w:r>
        <w:rPr>
          <w:rFonts w:ascii="Arial" w:hAnsi="Arial"/>
        </w:rPr>
        <w:t xml:space="preserve">Thirteen scorers were evaluated. Five were single layers: network centrality, chemical tractability, mutation frequency, genetic constraint and cancer-driver annotation. Five were fixed-form composites built from a driver component </w:t>
      </w:r>
      <w:r>
        <w:rPr>
          <w:rFonts w:ascii="Arial" w:hAnsi="Arial"/>
        </w:rPr>
        <w:t xml:space="preserve">D = 0.8 x centrality + 0.1 x mutation + 0.1 x viability and a support term Phi defined as the unweighted </w:t>
      </w:r>
      <w:r>
        <w:rPr>
          <w:rFonts w:ascii="Arial" w:hAnsi="Arial"/>
        </w:rPr>
        <w:lastRenderedPageBreak/>
        <w:t>mean of six layers (genetic constraint, cancer-driver annotation, germline association, tractability, prognostic association and tissue specificity): a</w:t>
      </w:r>
      <w:r>
        <w:rPr>
          <w:rFonts w:ascii="Arial" w:hAnsi="Arial"/>
        </w:rPr>
        <w:t>rithmetic mean, rank aggregation, weighted rank aggregation, the multiplicative rule D(1 + 0.6Phi) and the harmonic mean 2(D + 3.0)(Phi + 3.0)/(D + Phi + 6.0). Three were supervised learners: logistic regression, elastic net and random forest.</w:t>
      </w:r>
    </w:p>
    <w:p w:rsidR="001707C3" w:rsidRDefault="00097C88">
      <w:pPr>
        <w:spacing w:after="100"/>
      </w:pPr>
      <w:r>
        <w:rPr>
          <w:rFonts w:ascii="Arial" w:hAnsi="Arial"/>
        </w:rPr>
        <w:t>Supervised l</w:t>
      </w:r>
      <w:r>
        <w:rPr>
          <w:rFonts w:ascii="Arial" w:hAnsi="Arial"/>
        </w:rPr>
        <w:t xml:space="preserve">earners were fitted with five-fold stratified cross-validation and evaluated using out-of-fold predictions. No hyperparameter search was performed against any endpoint in the released benchmark. Because every scorer consumed the same nine evidence layers, </w:t>
      </w:r>
      <w:r>
        <w:rPr>
          <w:rFonts w:ascii="Arial" w:hAnsi="Arial"/>
        </w:rPr>
        <w:t xml:space="preserve">models evaluated on E3 and E3-C were circular by construction and are reported as diagnostics rather than predictive validation. A leakage-safe nested five-fold protocol with inner-fold hyperparameter tuning, a fixed candidate grid and seed is provided in </w:t>
      </w:r>
      <w:r>
        <w:rPr>
          <w:rFonts w:ascii="Arial" w:hAnsi="Arial"/>
        </w:rPr>
        <w:t>Supplementary Table 5.</w:t>
      </w:r>
    </w:p>
    <w:p w:rsidR="001707C3" w:rsidRDefault="00097C88">
      <w:pPr>
        <w:pStyle w:val="21"/>
        <w:spacing w:before="140" w:after="80"/>
      </w:pPr>
      <w:r>
        <w:t>Statistical analysis</w:t>
      </w:r>
    </w:p>
    <w:p w:rsidR="001707C3" w:rsidRDefault="00097C88">
      <w:pPr>
        <w:spacing w:after="100"/>
      </w:pPr>
      <w:r>
        <w:rPr>
          <w:rFonts w:ascii="Arial" w:hAnsi="Arial"/>
        </w:rPr>
        <w:t>Discrimination was summarized by AUROC, with AUPRC provided in Source Data. Confidence intervals were percentile intervals from 2,000 stratified bootstrap resamples. Whether a single scorer exceeded chance was as</w:t>
      </w:r>
      <w:r>
        <w:rPr>
          <w:rFonts w:ascii="Arial" w:hAnsi="Arial"/>
        </w:rPr>
        <w:t>sessed with the Mann-Whitney U statistic. Differences between scorers on the same endpoint used the fast DeLong method together with paired bootstrap intervals. The prespecified primary contrasts were fixed-form composite versus centrality, random forest v</w:t>
      </w:r>
      <w:r>
        <w:rPr>
          <w:rFonts w:ascii="Arial" w:hAnsi="Arial"/>
        </w:rPr>
        <w:t>ersus centrality, and deletion of the label-embedded druggability layer from E3. All other scorer-endpoint comparisons were exploratory. Eight operational endpoints were examined, but only six were treated as independent primary endpoints; P values were th</w:t>
      </w:r>
      <w:r>
        <w:rPr>
          <w:rFonts w:ascii="Arial" w:hAnsi="Arial"/>
        </w:rPr>
        <w:t>erefore interpreted descriptively, with Holm-Bonferroni correction applied across the prespecified primary contrasts when a family-wise statement was made. Network-community resampling was performed in addition to gene-level bootstrap because network centr</w:t>
      </w:r>
      <w:r>
        <w:rPr>
          <w:rFonts w:ascii="Arial" w:hAnsi="Arial"/>
        </w:rPr>
        <w:t>ality induces dependence among genes.</w:t>
      </w:r>
    </w:p>
    <w:p w:rsidR="001707C3" w:rsidRDefault="00097C88">
      <w:pPr>
        <w:pStyle w:val="21"/>
        <w:spacing w:before="140" w:after="80"/>
      </w:pPr>
      <w:r>
        <w:t>Reproducibility</w:t>
      </w:r>
    </w:p>
    <w:p w:rsidR="001707C3" w:rsidRDefault="00097C88">
      <w:pPr>
        <w:spacing w:after="100"/>
      </w:pPr>
      <w:r>
        <w:rPr>
          <w:rFonts w:ascii="Arial" w:hAnsi="Arial"/>
        </w:rPr>
        <w:t>All numerical claims were recomputed from the released analysis pipeline. The audit ledger in Supplementary Table 1 records the provenance of each finding. The harmonic composite reproduced AUROCs of 0.</w:t>
      </w:r>
      <w:r>
        <w:rPr>
          <w:rFonts w:ascii="Arial" w:hAnsi="Arial"/>
        </w:rPr>
        <w:t>893 on E3, 0.575 on E1 and 0.941 on historical clinical-target concordance. A clean rerun from the released inputs reproduced all 104 scorer-endpoint benchmark cells to six decimals, with a maximum absolute difference of 0.0, together with confidence inter</w:t>
      </w:r>
      <w:r>
        <w:rPr>
          <w:rFonts w:ascii="Arial" w:hAnsi="Arial"/>
        </w:rPr>
        <w:t>vals, negative controls, functional-form analyses and the full 1,000-draw Dirichlet weight-space analysis. The run record is identified by git commit SHA c439c9af and results-manifest SHA-256 4aa24440.</w:t>
      </w:r>
    </w:p>
    <w:p w:rsidR="001707C3" w:rsidRDefault="00097C88">
      <w:pPr>
        <w:pStyle w:val="21"/>
        <w:spacing w:before="140" w:after="80"/>
      </w:pPr>
      <w:r>
        <w:t>Data and code availability</w:t>
      </w:r>
    </w:p>
    <w:p w:rsidR="001707C3" w:rsidRDefault="00097C88">
      <w:pPr>
        <w:pStyle w:val="21"/>
        <w:spacing w:after="100"/>
        <w:jc w:val="left"/>
      </w:pPr>
      <w: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Default="00097C88">
      <w:pPr>
        <w:spacing w:after="100"/>
      </w:pPr>
      <w:r>
        <w:rPr>
          <w:rFonts w:ascii="Arial" w:hAnsi="Arial"/>
        </w:rPr>
        <w:t>Repository: https://github.com/zuoxianbo/PDAC-evidence-integration-audit</w:t>
      </w:r>
    </w:p>
    <w:p w:rsidR="001707C3" w:rsidRDefault="00097C88">
      <w:pPr>
        <w:spacing w:after="100"/>
      </w:pPr>
      <w:r>
        <w:rPr>
          <w:rFonts w:ascii="Arial" w:hAnsi="Arial"/>
        </w:rPr>
        <w:t>Dat</w:t>
      </w:r>
      <w:r>
        <w:rPr>
          <w:rFonts w:ascii="Arial" w:hAnsi="Arial"/>
        </w:rPr>
        <w:t>a availability: https://github.com/zuoxianbo/PDAC-evidence-integration-audit</w:t>
      </w:r>
    </w:p>
    <w:p w:rsidR="001707C3" w:rsidRDefault="00097C88">
      <w:pPr>
        <w:spacing w:after="100"/>
      </w:pPr>
      <w:r>
        <w:rPr>
          <w:rFonts w:ascii="Arial" w:hAnsi="Arial"/>
        </w:rPr>
        <w:t>Code availability: https://github.com/zuoxianbo/PDAC-evidence-integration-audit</w:t>
      </w:r>
    </w:p>
    <w:p w:rsidR="001707C3" w:rsidRDefault="00097C88">
      <w:pPr>
        <w:pStyle w:val="21"/>
        <w:spacing w:before="140" w:after="80"/>
      </w:pPr>
      <w:r>
        <w:lastRenderedPageBreak/>
        <w:t>Use of AI-assisted tools</w:t>
      </w:r>
    </w:p>
    <w:p w:rsidR="001707C3" w:rsidRDefault="00097C88">
      <w:pPr>
        <w:spacing w:after="100"/>
      </w:pPr>
      <w:r>
        <w:rPr>
          <w:rFonts w:ascii="Arial" w:hAnsi="Arial"/>
        </w:rPr>
        <w:t>A large language model was used during manuscript preparation for language</w:t>
      </w:r>
      <w:r>
        <w:rPr>
          <w:rFonts w:ascii="Arial" w:hAnsi="Arial"/>
        </w:rPr>
        <w:t xml:space="preserve"> editing, structural revision and consistency checking. The authors retained responsibility for the study design, data analysis, statistical interpretation, scientific conclusions and final manuscript content.</w:t>
      </w:r>
    </w:p>
    <w:p w:rsidR="001707C3" w:rsidRDefault="00097C88">
      <w:pPr>
        <w:pStyle w:val="1"/>
        <w:spacing w:before="200" w:after="80"/>
      </w:pPr>
      <w:r>
        <w:t>Display items</w:t>
      </w:r>
    </w:p>
    <w:p w:rsidR="001707C3" w:rsidRDefault="00097C88">
      <w:pPr>
        <w:pStyle w:val="21"/>
        <w:spacing w:before="140" w:after="80"/>
      </w:pPr>
      <w:r>
        <w:t xml:space="preserve">Fig. 1 | Single evidence layers </w:t>
      </w:r>
      <w:r>
        <w:t>and endpoint dependency.</w:t>
      </w:r>
    </w:p>
    <w:p w:rsidR="001707C3" w:rsidRDefault="00097C88">
      <w:pPr>
        <w:spacing w:after="100"/>
      </w:pPr>
      <w:r>
        <w:rPr>
          <w:rFonts w:ascii="Arial" w:hAnsi="Arial"/>
        </w:rPr>
        <w:t>a, AUROC with 95% bootstrap confidence intervals for five single evidence layers on three endpoints. b, Relationships among evaluated endpoints: E2 is the upper quartile of an E1-derived selectivity statistic; E3 intersects E1 with</w:t>
      </w:r>
      <w:r>
        <w:rPr>
          <w:rFonts w:ascii="Arial" w:hAnsi="Arial"/>
        </w:rPr>
        <w:t xml:space="preserve"> tractability; E3-A reproduces the E1 positive set exactly.</w:t>
      </w:r>
    </w:p>
    <w:p w:rsidR="001707C3" w:rsidRDefault="00097C88">
      <w:pPr>
        <w:pStyle w:val="21"/>
        <w:spacing w:before="140" w:after="80"/>
      </w:pPr>
      <w:r>
        <w:t>Fig. 2 | Benchmark matrix.</w:t>
      </w:r>
    </w:p>
    <w:p w:rsidR="001707C3" w:rsidRDefault="00097C88">
      <w:pPr>
        <w:spacing w:after="100"/>
        <w:jc w:val="left"/>
      </w:pPr>
      <w:r>
        <w:rPr>
          <w:rFonts w:ascii="Arial" w:hAnsi="Arial"/>
        </w:rPr>
        <w:t>AUROC for 13 scorers across eight operational endpoints, with a diverging colour scale centred at chance (AUROC = 0.5). Constructed and circular diagnostics E3 and E3-C are marked separately. AUROC = 1.000 on E3-C is displayed as a label-as-input control, not as predictive performance.</w:t>
      </w:r>
    </w:p>
    <w:p w:rsidR="001707C3" w:rsidRDefault="00097C88">
      <w:pPr>
        <w:pStyle w:val="21"/>
        <w:spacing w:before="140" w:after="80"/>
      </w:pPr>
      <w:r>
        <w:t>Fig. 3 | Integration versus network centrality.</w:t>
      </w:r>
    </w:p>
    <w:p w:rsidR="001707C3" w:rsidRDefault="00097C88">
      <w:pPr>
        <w:spacing w:after="100"/>
        <w:jc w:val="left"/>
      </w:pPr>
      <w:r>
        <w:rPr>
          <w:rFonts w:ascii="Arial" w:hAnsi="Arial"/>
        </w:rPr>
        <w:t>a, Paired AUROC difference relative to centrality with 95% confidence intervals across external-label and constructed endpoints. b, Difference under network-community resampling.</w:t>
      </w:r>
    </w:p>
    <w:p w:rsidR="001707C3" w:rsidRDefault="00097C88">
      <w:pPr>
        <w:pStyle w:val="21"/>
        <w:spacing w:before="140" w:after="80"/>
      </w:pPr>
      <w:r>
        <w:t>Fig. 4 | Why integration appears to work.</w:t>
      </w:r>
    </w:p>
    <w:p w:rsidR="001707C3" w:rsidRDefault="00097C88">
      <w:pPr>
        <w:spacing w:after="100"/>
      </w:pPr>
      <w:r>
        <w:rPr>
          <w:rFonts w:ascii="Arial" w:hAnsi="Arial"/>
        </w:rPr>
        <w:t xml:space="preserve">a, Percentage of genes carrying the missing-data sentinel in each evidence layer. b, Failure of order preservation under the </w:t>
      </w:r>
      <w:r>
        <w:rPr>
          <w:rFonts w:ascii="Arial" w:hAnsi="Arial"/>
        </w:rPr>
        <w:t>multiplicative rule, highlighting the 26.2% double-negative region. c, Support-term signal on E3 with and without the tractability layer.</w:t>
      </w:r>
    </w:p>
    <w:p w:rsidR="001707C3" w:rsidRDefault="00097C88">
      <w:pPr>
        <w:pStyle w:val="21"/>
        <w:spacing w:before="140" w:after="80"/>
      </w:pPr>
      <w:r>
        <w:t>Fig. 5 | Sensitivity analyses.</w:t>
      </w:r>
    </w:p>
    <w:p w:rsidR="001707C3" w:rsidRDefault="00097C88">
      <w:pPr>
        <w:spacing w:after="100"/>
      </w:pPr>
      <w:r>
        <w:rPr>
          <w:rFonts w:ascii="Arial" w:hAnsi="Arial"/>
        </w:rPr>
        <w:t>a, AUROC by aggregation rule. b, Distribution of E3 AUROC across 1,000 symmetric Dirich</w:t>
      </w:r>
      <w:r>
        <w:rPr>
          <w:rFonts w:ascii="Arial" w:hAnsi="Arial"/>
        </w:rPr>
        <w:t>let weight draws, showing the median, interquartile range, 2.5th-97.5th percentile range, the prespecified weighting and the centrality baseline. c, Negative controls on E3. d, Change in AUROC after recoding missing values as missing and averaging over ava</w:t>
      </w:r>
      <w:r>
        <w:rPr>
          <w:rFonts w:ascii="Arial" w:hAnsi="Arial"/>
        </w:rPr>
        <w:t>ilable evidence.</w:t>
      </w:r>
    </w:p>
    <w:p w:rsidR="001707C3" w:rsidRDefault="00097C88">
      <w:pPr>
        <w:pStyle w:val="21"/>
        <w:spacing w:before="140" w:after="80"/>
      </w:pPr>
      <w:r>
        <w:t>Fig. 6 | Pharmacological stress test.</w:t>
      </w:r>
    </w:p>
    <w:p w:rsidR="001707C3" w:rsidRDefault="00097C88">
      <w:pPr>
        <w:spacing w:after="100"/>
      </w:pPr>
      <w:r>
        <w:rPr>
          <w:rFonts w:ascii="Arial" w:hAnsi="Arial"/>
        </w:rPr>
        <w:t>a, Construction of the E6 pharmacological-response proxy and nominal-target attribution. b, AUROC comparison for centrality, harmonic composite, tractability and random forest. The nine candidate genes are treated as prospective computational hypotheses and are shown in Extended Data Fig. 4.</w:t>
      </w:r>
    </w:p>
    <w:p w:rsidR="001707C3" w:rsidRDefault="00097C88">
      <w:pPr>
        <w:pStyle w:val="1"/>
        <w:spacing w:before="200" w:after="80"/>
      </w:pPr>
      <w:r>
        <w:t>Extended Data and Supplementary Information</w:t>
      </w:r>
    </w:p>
    <w:p w:rsidR="001707C3" w:rsidRDefault="00097C88">
      <w:pPr>
        <w:spacing w:after="100"/>
      </w:pPr>
      <w:r>
        <w:rPr>
          <w:rFonts w:ascii="Arial" w:hAnsi="Arial"/>
        </w:rPr>
        <w:t>Extended Data Fig. 1 | Study-bias and annotation-density audit of network centrality.</w:t>
      </w:r>
    </w:p>
    <w:p w:rsidR="001707C3" w:rsidRDefault="00097C88">
      <w:pPr>
        <w:spacing w:after="100"/>
      </w:pPr>
      <w:r>
        <w:rPr>
          <w:rFonts w:ascii="Arial" w:hAnsi="Arial"/>
        </w:rPr>
        <w:t>Extended Data Fig. 2 | Missingness</w:t>
      </w:r>
      <w:r>
        <w:rPr>
          <w:rFonts w:ascii="Arial" w:hAnsi="Arial"/>
        </w:rPr>
        <w:t>-encoding sensitivity, comparing available-case handling with missingness-aware analysis.</w:t>
      </w:r>
    </w:p>
    <w:p w:rsidR="001707C3" w:rsidRDefault="00097C88">
      <w:pPr>
        <w:spacing w:after="100"/>
      </w:pPr>
      <w:r>
        <w:rPr>
          <w:rFonts w:ascii="Arial" w:hAnsi="Arial"/>
        </w:rPr>
        <w:t>Extended Data Fig. 3 | Full Dirichlet weight-space distribution, including median, interquartile range, 2.5th-97.5th percentile range, maximum and proportion exceedin</w:t>
      </w:r>
      <w:r>
        <w:rPr>
          <w:rFonts w:ascii="Arial" w:hAnsi="Arial"/>
        </w:rPr>
        <w:t>g centrality.</w:t>
      </w:r>
    </w:p>
    <w:p w:rsidR="001707C3" w:rsidRDefault="00097C88">
      <w:pPr>
        <w:spacing w:after="100"/>
      </w:pPr>
      <w:r>
        <w:rPr>
          <w:rFonts w:ascii="Arial" w:hAnsi="Arial"/>
        </w:rPr>
        <w:t>Extended Data Fig. 4 | Nine candidate genes as prospective computational hypotheses, with genome-wide percentiles, druggability and dependency flags.</w:t>
      </w:r>
    </w:p>
    <w:p w:rsidR="001707C3" w:rsidRDefault="00097C88">
      <w:pPr>
        <w:spacing w:after="100"/>
      </w:pPr>
      <w:r>
        <w:rPr>
          <w:rFonts w:ascii="Arial" w:hAnsi="Arial"/>
        </w:rPr>
        <w:t>Supplementary Table 1 | Audit ledger documenting each P0/P1 item, severity, finding and acti</w:t>
      </w:r>
      <w:r>
        <w:rPr>
          <w:rFonts w:ascii="Arial" w:hAnsi="Arial"/>
        </w:rPr>
        <w:t>on taken.</w:t>
      </w:r>
    </w:p>
    <w:p w:rsidR="001707C3" w:rsidRDefault="00097C88">
      <w:pPr>
        <w:spacing w:after="100"/>
      </w:pPr>
      <w:r>
        <w:rPr>
          <w:rFonts w:ascii="Arial" w:hAnsi="Arial"/>
        </w:rPr>
        <w:t>Supplementary Table 2 | Endpoint provenance and independence matrix.</w:t>
      </w:r>
    </w:p>
    <w:p w:rsidR="001707C3" w:rsidRDefault="00097C88">
      <w:pPr>
        <w:spacing w:after="100"/>
      </w:pPr>
      <w:r>
        <w:rPr>
          <w:rFonts w:ascii="Arial" w:hAnsi="Arial"/>
        </w:rPr>
        <w:t>Supplementary Table 3 | Evidence-layer overlap with E5 and E6 labels.</w:t>
      </w:r>
    </w:p>
    <w:p w:rsidR="001707C3" w:rsidRDefault="00097C88">
      <w:pPr>
        <w:spacing w:after="100"/>
      </w:pPr>
      <w:r>
        <w:rPr>
          <w:rFonts w:ascii="Arial" w:hAnsi="Arial"/>
        </w:rPr>
        <w:lastRenderedPageBreak/>
        <w:t>Supplementary Table 4 | Full scorer x endpoint AUROC, AUPRC, confidence intervals and P values.</w:t>
      </w:r>
    </w:p>
    <w:p w:rsidR="001707C3" w:rsidRDefault="00097C88">
      <w:pPr>
        <w:spacing w:after="100"/>
      </w:pPr>
      <w:r>
        <w:rPr>
          <w:rFonts w:ascii="Arial" w:hAnsi="Arial"/>
        </w:rPr>
        <w:t>Supplementa</w:t>
      </w:r>
      <w:r>
        <w:rPr>
          <w:rFonts w:ascii="Arial" w:hAnsi="Arial"/>
        </w:rPr>
        <w:t>ry Table 5 | Nested cross-validation hyperparameters and outer-fold results.</w:t>
      </w:r>
    </w:p>
    <w:p w:rsidR="001707C3" w:rsidRDefault="00097C88">
      <w:pPr>
        <w:spacing w:after="100"/>
        <w:jc w:val="left"/>
      </w:pPr>
      <w:r>
        <w:rPr>
          <w:rFonts w:ascii="Arial" w:hAnsi="Arial"/>
        </w:rPr>
        <w:t>Source Data | AUROC, 95% confidence interval, AUPRC, positive count and Mann–Whitney P against chance for every scorer-endpoint pair in source_data.csv.</w:t>
      </w:r>
    </w:p>
    <w:p w:rsidR="001707C3" w:rsidRDefault="00097C88">
      <w:pPr>
        <w:pStyle w:val="1"/>
        <w:spacing w:before="200" w:after="80"/>
      </w:pPr>
      <w:r>
        <w:t>References</w:t>
      </w:r>
    </w:p>
    <w:p>
      <w:pPr>
        <w:spacing w:before="0" w:after="40" w:line="240" w:lineRule="auto"/>
      </w:pPr>
      <w:r>
        <w:rPr>
          <w:sz w:val="16"/>
        </w:rPr>
        <w:t>1. Tsherniak, A. et al. Defining a Cancer Dependency Map. Cell 170, 564–576.e16 (2017). https://doi.org/10.1016/j.cell.2017.06.010</w:t>
      </w:r>
    </w:p>
    <w:p>
      <w:pPr>
        <w:spacing w:before="0" w:after="40" w:line="240" w:lineRule="auto"/>
      </w:pPr>
      <w:r>
        <w:rPr>
          <w:sz w:val="16"/>
        </w:rPr>
        <w:t>2. Behan, F. M. et al. Prioritization of cancer therapeutic targets using CRISPR–Cas9 screens. Nature 568, 511–516 (2019). https://doi.org/10.1038/s41586-019-1103-9</w:t>
      </w:r>
    </w:p>
    <w:p>
      <w:pPr>
        <w:spacing w:before="0" w:after="40" w:line="240" w:lineRule="auto"/>
      </w:pPr>
      <w:r>
        <w:rPr>
          <w:sz w:val="16"/>
        </w:rPr>
        <w:t>3. Iorio, F. et al. A Landscape of Pharmacogenomic Interactions in Cancer. Cell 166, 740–754 (2016). https://doi.org/10.1016/j.cell.2016.06.017</w:t>
      </w:r>
    </w:p>
    <w:p>
      <w:pPr>
        <w:spacing w:before="0" w:after="40" w:line="240" w:lineRule="auto"/>
      </w:pPr>
      <w:r>
        <w:rPr>
          <w:sz w:val="16"/>
        </w:rPr>
        <w:t>4. Lipkova, J. et al. Artificial intelligence for multimodal data integration in oncology. Cancer Cell 40, 1095–1110 (2022). https://doi.org/10.1016/j.ccell.2022.09.012</w:t>
      </w:r>
    </w:p>
    <w:p>
      <w:pPr>
        <w:spacing w:before="0" w:after="40" w:line="240" w:lineRule="auto"/>
      </w:pPr>
      <w:r>
        <w:rPr>
          <w:sz w:val="16"/>
        </w:rPr>
        <w:t>5. Cantini, L. et al. Benchmarking joint multi-omics dimensionality reduction approaches for the study of cancer. Nat. Commun. 12, 124 (2021). https://doi.org/10.1038/s41467-020-20430-7</w:t>
      </w:r>
    </w:p>
    <w:p>
      <w:pPr>
        <w:spacing w:before="0" w:after="40" w:line="240" w:lineRule="auto"/>
      </w:pPr>
      <w:r>
        <w:rPr>
          <w:sz w:val="16"/>
        </w:rPr>
        <w:t>6. Hu, Y. et al. Benchmarking algorithms for single-cell multi-omics prediction and integration. Nat. Methods 21, 2182–2194 (2024). https://doi.org/10.1038/s41592-024-02429-w</w:t>
      </w:r>
    </w:p>
    <w:p>
      <w:pPr>
        <w:spacing w:before="0" w:after="40" w:line="240" w:lineRule="auto"/>
      </w:pPr>
      <w:r>
        <w:rPr>
          <w:sz w:val="16"/>
        </w:rPr>
        <w:t>7. Liu, F. et al. Advancing AI for multi-omics and clinical data integration in basic and translational cancer research. Nat. Rev. Cancer 26, 497–512 (2026). https://doi.org/10.1038/s41568-026-00922-2</w:t>
      </w:r>
    </w:p>
    <w:p>
      <w:pPr>
        <w:spacing w:before="0" w:after="40" w:line="240" w:lineRule="auto"/>
      </w:pPr>
      <w:r>
        <w:rPr>
          <w:sz w:val="16"/>
        </w:rPr>
        <w:t>8. Baltušytė, G. et al. A network medicine framework for multi-modal data integration in therapeutic target discovery. Commun. Chem. 9, 244 (2026). https://doi.org/10.1038/s42004-026-02049-9</w:t>
      </w:r>
    </w:p>
    <w:p>
      <w:pPr>
        <w:spacing w:before="0" w:after="40" w:line="240" w:lineRule="auto"/>
      </w:pPr>
      <w:r>
        <w:rPr>
          <w:sz w:val="16"/>
        </w:rPr>
        <w:t>9. Luecken, M. D. et al. Benchmarking atlas-level data integration in single-cell genomics. Nat. Methods 19, 41–50 (2022). https://doi.org/10.1038/s41592-021-01336-8</w:t>
      </w:r>
    </w:p>
    <w:p>
      <w:pPr>
        <w:spacing w:before="0" w:after="40" w:line="240" w:lineRule="auto"/>
      </w:pPr>
      <w:r>
        <w:rPr>
          <w:sz w:val="16"/>
        </w:rPr>
        <w:t>10. Liu, C. et al. Multitask benchmarking of single-cell multimodal omics integration methods. Nat. Methods 22, 2449–2460 (2025). https://doi.org/10.1038/s41592-025-02856-3</w:t>
      </w:r>
    </w:p>
    <w:p>
      <w:pPr>
        <w:spacing w:before="0" w:after="40" w:line="240" w:lineRule="auto"/>
      </w:pPr>
      <w:r>
        <w:rPr>
          <w:sz w:val="16"/>
        </w:rPr>
        <w:t>11. Bernett, J. et al. Guiding questions to avoid data leakage in biological machine learning applications. Nat. Methods 21, 1444–1453 (2024). https://doi.org/10.1038/s41592-024-02362-y</w:t>
      </w:r>
    </w:p>
    <w:p>
      <w:pPr>
        <w:spacing w:before="0" w:after="40" w:line="240" w:lineRule="auto"/>
      </w:pPr>
      <w:r>
        <w:rPr>
          <w:sz w:val="16"/>
        </w:rPr>
        <w:t>12. Pavlović, M. et al. Improving generalization of machine learning-identified biomarkers using causal modelling with examples from immune receptor diagnostics. Nat. Mach. Intell. 6, 15–24 (2024). https://doi.org/10.1038/s42256-023-00781-8</w:t>
      </w:r>
    </w:p>
    <w:p>
      <w:pPr>
        <w:spacing w:before="0" w:after="40" w:line="240" w:lineRule="auto"/>
      </w:pPr>
      <w:r>
        <w:rPr>
          <w:sz w:val="16"/>
        </w:rPr>
        <w:t>13. Duffy, Á. et al. Development of a human genetics-guided priority score for 19,365 genes and 399 drug indications. Nat. Genet. 56, 51–59 (2024). https://doi.org/10.1038/s41588-023-01609-2</w:t>
      </w:r>
    </w:p>
    <w:p>
      <w:pPr>
        <w:spacing w:before="0" w:after="40" w:line="240" w:lineRule="auto"/>
      </w:pPr>
      <w:r>
        <w:rPr>
          <w:sz w:val="16"/>
        </w:rPr>
        <w:t>14. Pacini, C. et al. A comprehensive clinically informed map of dependencies in cancer cells and framework for target prioritization. Cancer Cell 42, 301–316.e9 (2024). https://doi.org/10.1016/j.ccell.2023.12.016</w:t>
      </w:r>
    </w:p>
    <w:p>
      <w:pPr>
        <w:spacing w:before="0" w:after="40" w:line="240" w:lineRule="auto"/>
      </w:pPr>
      <w:r>
        <w:rPr>
          <w:sz w:val="16"/>
        </w:rPr>
        <w:t>15. Voß, H. et al. HarmonizR enables data harmonization across independent proteomic datasets with appropriate handling of missing values. Nat. Commun. 13, 3523 (2022). https://doi.org/10.1038/s41467-022-31007-x</w:t>
      </w:r>
    </w:p>
    <w:p>
      <w:pPr>
        <w:spacing w:before="0" w:after="40" w:line="240" w:lineRule="auto"/>
      </w:pPr>
      <w:r>
        <w:rPr>
          <w:sz w:val="16"/>
        </w:rPr>
        <w:t>16. Carli, F. et al. Learning and actioning general principles of cancer cell drug sensitivity. Nat. Commun. 16, 1654 (2025). https://doi.org/10.1038/s41467-025-56827-5</w:t>
      </w:r>
    </w:p>
    <w:p>
      <w:pPr>
        <w:spacing w:before="0" w:after="40" w:line="240" w:lineRule="auto"/>
      </w:pPr>
      <w:r>
        <w:rPr>
          <w:sz w:val="16"/>
        </w:rPr>
        <w:t>17. Chawla, S. et al. Gene expression based inference of cancer drug sensitivity. Nat. Commun. 13, 5680 (2022). https://doi.org/10.1038/s41467-022-33291-z</w:t>
      </w:r>
    </w:p>
    <w:p>
      <w:pPr>
        <w:spacing w:before="0" w:after="40" w:line="240" w:lineRule="auto"/>
      </w:pPr>
      <w:r>
        <w:rPr>
          <w:sz w:val="16"/>
        </w:rPr>
        <w:t>18. Tang, Y.-C., Powell, R. T. &amp; Gottlieb, A. Molecular pathways enhance drug response prediction using transfer learning from cell lines to tumors and patient-derived xenografts. Sci. Rep. 12, 16109 (2022). https://doi.org/10.1038/s41598-022-20646-1</w:t>
      </w:r>
    </w:p>
    <w:p>
      <w:pPr>
        <w:spacing w:before="0" w:after="40" w:line="240" w:lineRule="auto"/>
      </w:pPr>
      <w:r>
        <w:rPr>
          <w:sz w:val="16"/>
        </w:rPr>
        <w:t>19. Shi, X. et al. Building a translational cancer dependency map for The Cancer Genome Atlas. Nat. Cancer 5, 1176–1194 (2024). https://doi.org/10.1038/s43018-024-00789-y</w:t>
      </w:r>
    </w:p>
    <w:p>
      <w:pPr>
        <w:spacing w:before="0" w:after="40" w:line="240" w:lineRule="auto"/>
      </w:pPr>
      <w:r>
        <w:rPr>
          <w:sz w:val="16"/>
        </w:rPr>
        <w:t>20. Pun, F. W. et al. Target identification and assessment in the era of AI. Nat. Rev. Drug Discov. 25, 534–552 (2026). https://doi.org/10.1038/s41573-026-01412-8</w:t>
      </w:r>
    </w:p>
    <w:p>
      <w:pPr>
        <w:spacing w:before="0" w:after="40" w:line="240" w:lineRule="auto"/>
      </w:pPr>
      <w:r>
        <w:rPr>
          <w:sz w:val="16"/>
        </w:rPr>
        <w:t>21. Arafeh, R. et al. The present and future of the Cancer Dependency Map. Nat. Rev. Cancer 25, 59–73 (2025). https://doi.org/10.1038/s41568-024-00763-x</w:t>
      </w:r>
    </w:p>
    <w:p>
      <w:pPr>
        <w:spacing w:before="0" w:after="40" w:line="240" w:lineRule="auto"/>
      </w:pPr>
      <w:r>
        <w:rPr>
          <w:sz w:val="16"/>
        </w:rPr>
        <w:t>22. Raphael, B. J. et al. Integrated Genomic Characterization of Pancreatic Ductal Adenocarcinoma. Cancer Cell 32, 185–203 (2017). https://doi.org/10.1016/j.ccell.2017.07.007</w:t>
      </w:r>
    </w:p>
    <w:p>
      <w:pPr>
        <w:spacing w:before="0" w:after="40" w:line="240" w:lineRule="auto"/>
      </w:pPr>
      <w:r>
        <w:rPr>
          <w:sz w:val="16"/>
        </w:rPr>
        <w:t>23. Szklarczyk, D. et al. The STRING database in 2023: protein–protein association networks and functional enrichment analyses for any sequenced genome of interest. Nucleic Acids Res. 51, D638–D646 (2023). https://doi.org/10.1093/nar/gkac1000</w:t>
      </w:r>
    </w:p>
    <w:p>
      <w:pPr>
        <w:spacing w:before="0" w:after="40" w:line="240" w:lineRule="auto"/>
      </w:pPr>
      <w:r>
        <w:rPr>
          <w:sz w:val="16"/>
        </w:rPr>
        <w:t>24. Sondka, Z. et al. The COSMIC Cancer Gene Census: describing genetic dysfunction across all human cancers. Nat. Rev. Cancer 18, 696–705 (2018). https://doi.org/10.1038/s41568-018-0060-1</w:t>
      </w:r>
    </w:p>
    <w:p>
      <w:pPr>
        <w:spacing w:before="0" w:after="40" w:line="240" w:lineRule="auto"/>
      </w:pPr>
      <w:r>
        <w:rPr>
          <w:sz w:val="16"/>
        </w:rPr>
        <w:t>25. Karczewski, K. J. et al. The mutational constraint spectrum quantified from variation in 141,456 humans. Nature 581, 434–443 (2020). https://doi.org/10.1038/s41586-020-2308-7</w:t>
      </w:r>
    </w:p>
    <w:p>
      <w:pPr>
        <w:spacing w:before="0" w:after="40" w:line="240" w:lineRule="auto"/>
      </w:pPr>
      <w:r>
        <w:rPr>
          <w:sz w:val="16"/>
        </w:rPr>
        <w:t>26. Ochoa, D. et al. Open Targets Genetics: systematic identification of trait-associated genes using large-scale genetics and functional genomics. Nucleic Acids Res. 49, D1311–D1320 (2021). https://doi.org/10.1093/nar/gkaa840</w:t>
      </w:r>
    </w:p>
    <w:p>
      <w:pPr>
        <w:spacing w:before="0" w:after="40" w:line="240" w:lineRule="auto"/>
      </w:pPr>
      <w:r>
        <w:rPr>
          <w:sz w:val="16"/>
        </w:rPr>
        <w:t>27. Cotto, K. C. et al. DGIdb 3.0: a redesign and expansion of the drug–gene interaction database. Nucleic Acids Res. 46, D1068–D1073 (2018). https://doi.org/10.1093/nar/gkx1143</w:t>
      </w:r>
    </w:p>
    <w:p>
      <w:pPr>
        <w:spacing w:before="0" w:after="40" w:line="240" w:lineRule="auto"/>
      </w:pPr>
      <w:r>
        <w:rPr>
          <w:sz w:val="16"/>
        </w:rPr>
        <w:t>28. Davies, M. et al. ChEMBL web services: streamlining access to drug discovery data and utilities. Nucleic Acids Res. 43, W612–W620 (2015). https://doi.org/10.1093/nar/gkv352</w:t>
      </w:r>
    </w:p>
    <w:p>
      <w:pPr>
        <w:spacing w:before="0" w:after="40" w:line="240" w:lineRule="auto"/>
      </w:pPr>
      <w:r>
        <w:rPr>
          <w:sz w:val="16"/>
        </w:rPr>
        <w:t>29. Uhlén, M. et al. Tissue-based map of the human proteome. Science 347, 1260419 (2015). https://doi.org/10.1126/science.1260419</w:t>
      </w:r>
    </w:p>
    <w:p>
      <w:pPr>
        <w:spacing w:before="0" w:after="40" w:line="240" w:lineRule="auto"/>
      </w:pPr>
      <w:r>
        <w:rPr>
          <w:sz w:val="16"/>
        </w:rPr>
        <w:t>30. Yang, W. et al. Genomics of Drug Sensitivity in Cancer (GDSC): a resource for therapeutic biomarker discovery in cancer cells. Nucleic Acids Res. 41, D955–D961 (2013). https://doi.org/10.1093/nar/gks1111</w:t>
      </w:r>
    </w:p>
    <w:sectPr w:rsidR="001707C3">
      <w:footerReference w:type="default" r:id="rId8"/>
      <w:headerReference w:type="default" r:id="rId11"/>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7C88" w:rsidRDefault="00097C88">
      <w:pPr>
        <w:spacing w:after="0" w:line="240" w:lineRule="auto"/>
      </w:pPr>
      <w:r>
        <w:separator/>
      </w:r>
    </w:p>
  </w:endnote>
  <w:endnote w:type="continuationSeparator" w:id="0">
    <w:p w:rsidR="00097C88" w:rsidRDefault="00097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097C88">
    <w:pPr>
      <w:pStyle w:val="a7"/>
      <w:jc w:val="cen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7C88" w:rsidRDefault="00097C88">
      <w:pPr>
        <w:spacing w:after="0" w:line="240" w:lineRule="auto"/>
      </w:pPr>
      <w:r>
        <w:separator/>
      </w:r>
    </w:p>
  </w:footnote>
  <w:footnote w:type="continuationSeparator" w:id="0">
    <w:p w:rsidR="00097C88" w:rsidRDefault="00097C88">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9639D"/>
    <w:rsid w:val="00326F90"/>
    <w:rsid w:val="00AA1D8D"/>
    <w:rsid w:val="00B47730"/>
    <w:rsid w:val="00B754B1"/>
    <w:rsid w:val="00CB0664"/>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E4D5"/>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5554F-8797-FF48-8E77-616799B67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4254</Words>
  <Characters>24252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Nature Computational Science Analysis submission manuscript</dc:subject>
  <dc:creator/>
  <cp:keywords>therapeutic target prioritization; evidence integration; endpoint provenance; data leakage; PDAC</cp:keywords>
  <dc:description>generated by python-docx</dc:description>
  <cp:lastModifiedBy/>
  <cp:revision>4</cp:revision>
  <dcterms:created xsi:type="dcterms:W3CDTF">2013-12-23T23:15:00Z</dcterms:created>
  <dcterms:modified xsi:type="dcterms:W3CDTF">2026-08-24T15:15:00Z</dcterms:modified>
  <cp:category/>
</cp:coreProperties>
</file>