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23</w:t>
      </w:r>
      <w:r>
        <w:rPr>
          <w:rFonts w:ascii="Arial" w:hAnsi="Arial"/>
        </w:rPr>
        <w:t xml:space="preserve">; somatic mutation frequency from COSMIC and The Cancer Genome Atlas pancreatic adenocarcinoma (TCGA-PAAD) </w:t>
      </w:r>
      <w:r>
        <w:rPr>
          <w:rFonts w:ascii="Arial" w:hAnsi="Arial"/>
          <w:vertAlign w:val="superscript"/>
        </w:rPr>
        <w:t>22,24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24</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0d000c31ebc56ed7308c75d4bc4b51328cae2aa2 and results-manifest SHA-256 58918c162107f163910d9179fe676855b0df7a1a5837c166321cc968b4bf963a.</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