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41 fell in the most sensitive </w:t>
      </w:r>
      <w:proofErr w:type="spellStart"/>
      <w:r>
        <w:t>tertile</w:t>
      </w:r>
      <w:proofErr w:type="spellEnd"/>
      <w:r>
        <w:t xml:space="preserve">, and a gene was positive when it was the nominal target of one of those compounds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 xml:space="preserve">A geometric mean was evaluated as an additional sensitivity analysis and was not included among the 13 benchmark scorers.</w:t>
      </w:r>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1d9dba72e46f4459f28a2ba1368e820be8d30c3b and results-manifest SHA-256 675a3d6a6e4f0385a2fd652e847d69b8ee1ec779f1ddbe5f014ca3b3eb48d2d4.</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[TO COMPLETE: The authors declare no competing interests / or provide the full disclosure required by Nature Portfolio.]</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[TO COMPLETE: State all funding sources and the role of each funder, or state that no specific funding was received.]</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Ghoussaini, M.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