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 — Nature Cancer</w:t>
      </w:r>
    </w:p>
    <w:p>
      <w:pPr>
        <w:jc w:val="center"/>
      </w:pPr>
      <w:r>
        <w:t>Final cover-letter template — author completion required before upload</w:t>
      </w:r>
    </w:p>
    <w:p>
      <w:pPr>
        <w:jc w:val="both"/>
      </w:pPr>
      <w:r>
        <w:t>Dear Editors,</w:t>
      </w:r>
    </w:p>
    <w:p>
      <w:pPr>
        <w:jc w:val="both"/>
      </w:pPr>
      <w:r>
        <w:t>We submit our manuscript, “Decomposing the transportability of immune-state biomarkers across checkpoint immunotherapy”, for consideration as an Analysis in Nature Cancer.</w:t>
      </w:r>
    </w:p>
    <w:p>
      <w:pPr>
        <w:jc w:val="both"/>
      </w:pPr>
      <w:r>
        <w:t>The central question is not whether one immune signature reproduces in one additional cohort, but when a biomarker claim can legitimately be considered transportable across checkpoint-immunotherapy settings. We develop and apply a prespecified transport audit that separates predictor construction, measurement, discrimination, calibration, outcome definition and target-population differences. Using an outcome-frozen immune-state system anchored in IMvigor210, we evaluate independent efficacy cohorts, controlled representation perturbations, simpler comparators, a published positive-control biomarker and an explicitly underpowered joint efficacy–toxicity cohort.</w:t>
      </w:r>
    </w:p>
    <w:p>
      <w:pPr>
        <w:jc w:val="both"/>
      </w:pPr>
      <w:r>
        <w:t>The main finding is a boundary condition rather than a blanket biological negation: the tested immune-state system did not establish reproducible external transport under the prespecified criteria. Discrimination and calibration behaved as separable dimensions; representation perturbations did not recover transport; and a provenance audit showed why data-mapping errors can alter biomarker geometry before biological interpretation. The published 18-gene T-cell-inflamed GEP served as an important control, demonstrating that the evaluation environment has limited precision in the available target cohorts and that the present data cannot distinguish moderate underlying effects from true absence of transport.</w:t>
      </w:r>
    </w:p>
    <w:p>
      <w:pPr>
        <w:jc w:val="both"/>
      </w:pPr>
      <w:r>
        <w:t>We believe the work is relevant to the broad cancer community because immune biomarkers, transcriptional states and multimodal predictors are increasingly used across tumour types and assays. Recent work demonstrates both successful pan-cancer prediction and clinically important efficacy–toxicity uncoupling, heightening the need for rigorous transport criteria rather than AUC-only replication. The manuscript proposes a falsifiable framework for this problem and identifies the next decisive experiment: a paired measurement bridge followed by independent prospective validation.</w:t>
      </w:r>
    </w:p>
    <w:p>
      <w:pPr>
        <w:jc w:val="both"/>
      </w:pPr>
      <w:r>
        <w:t>The manuscript is intended as an Analysis rather than an Article because the present contribution is a comparative re-analysis of existing datasets that yields a generalizable cancer-immunology insight. We have deliberately limited our claims to what the current data support and explicitly treat the small joint efficacy–toxicity dataset as an identifiability boundary.</w:t>
      </w:r>
    </w:p>
    <w:p>
      <w:pPr>
        <w:jc w:val="both"/>
      </w:pPr>
      <w:r>
        <w:t>Please note that the final submission will include the complete author and affiliation information, permanent code identifier, source-data files and Nature Portfolio reporting documents. The statements below should be confirmed by all authors before submission:</w:t>
      </w:r>
    </w:p>
    <w:p>
      <w:pPr>
        <w:ind w:left="360" w:hanging="216"/>
      </w:pPr>
      <w:r>
        <w:t>• Related manuscripts under consideration or in press: [AUTHOR CONFIRMATION REQUIRED].</w:t>
      </w:r>
    </w:p>
    <w:p>
      <w:pPr>
        <w:ind w:left="360" w:hanging="216"/>
      </w:pPr>
      <w:r>
        <w:t>• Prior discussion with a Nature Cancer editor: [AUTHOR CONFIRMATION REQUIRED].</w:t>
      </w:r>
    </w:p>
    <w:p>
      <w:pPr>
        <w:ind w:left="360" w:hanging="216"/>
      </w:pPr>
      <w:r>
        <w:t>• Competing interests and funding: [AUTHOR CONFIRMATION REQUIRED].</w:t>
      </w:r>
    </w:p>
    <w:p>
      <w:pPr>
        <w:ind w:left="360" w:hanging="216"/>
      </w:pPr>
      <w:r>
        <w:t>• Double-anonymized peer review: [YES/NO]. If YES, affiliations and contact details will be supplied in this cover letter rather than the manuscript.</w:t>
      </w:r>
    </w:p>
    <w:p>
      <w:pPr>
        <w:ind w:left="360" w:hanging="216"/>
      </w:pPr>
      <w:r>
        <w:t>• Recommended/excluded reviewers: [OPTIONAL].</w:t>
      </w:r>
    </w:p>
    <w:p>
      <w:pPr>
        <w:jc w:val="both"/>
      </w:pPr>
      <w:r>
        <w:t>Thank you for considering our manuscript.</w:t>
      </w:r>
    </w:p>
    <w:p>
      <w:pPr>
        <w:jc w:val="both"/>
      </w:pPr>
      <w:r>
        <w:t>Sincerely,</w:t>
        <w:br/>
        <w:t>[Corresponding Author Name]</w:t>
        <w:br/>
        <w:t>[Institution]</w:t>
        <w:br/>
        <w:t>[Email]</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sz w:val="16"/>
      </w:rPr>
      <w:t>Nature Cancer — Analysis submission draft | 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Nature Cancer — Cover Letter (Final Template)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