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6"/>
        </w:rPr>
        <w:t>Nature Cancer Figure &amp; Extended Data Production Specification</w:t>
      </w:r>
    </w:p>
    <w:p>
      <w:pPr>
        <w:jc w:val="both"/>
      </w:pPr>
      <w:r>
        <w:rPr>
          <w:rFonts w:ascii="Arial" w:hAnsi="Arial"/>
          <w:b w:val="0"/>
          <w:i w:val="0"/>
          <w:sz w:val="21"/>
        </w:rPr>
        <w:t>Purpose: production specification for the six main figures and ten Extended Data items. Actual artwork is not fabricated here because the final underlying source-data files/plots were not supplied in the current workspace.</w:t>
      </w:r>
    </w:p>
    <w:p>
      <w:pPr/>
      <w:r>
        <w:rPr>
          <w:rFonts w:ascii="Arial" w:hAnsi="Arial"/>
          <w:b/>
          <w:i w:val="0"/>
          <w:sz w:val="21"/>
        </w:rPr>
        <w:t xml:space="preserve">Figure 1 | Transportability is a property of a prediction system. </w:t>
      </w:r>
      <w:r>
        <w:rPr>
          <w:rFonts w:ascii="Arial" w:hAnsi="Arial"/>
          <w:b w:val="0"/>
          <w:i w:val="0"/>
          <w:sz w:val="21"/>
        </w:rPr>
        <w:t>Schematic defining the transport object as biological construct → measurement → predictor → clinical estimand → target population. The primary estimand is an outcome-frozen system: the source outcome mapping is fixed, while only the prespecified label-free target transformation and Procrustes alignment are permitted. Discrimination and calibration are evaluated separately. The figure should visually distinguish primary frozen-source transport from source-swapped sensitivity analyses.</w:t>
      </w:r>
    </w:p>
    <w:p>
      <w:pPr/>
      <w:r>
        <w:rPr>
          <w:rFonts w:ascii="Arial" w:hAnsi="Arial"/>
          <w:b/>
          <w:i w:val="0"/>
          <w:sz w:val="21"/>
        </w:rPr>
        <w:t xml:space="preserve">Figure 2 | An outcome-frozen immune-state system does not establish reproducible external discrimination. </w:t>
      </w:r>
      <w:r>
        <w:rPr>
          <w:rFonts w:ascii="Arial" w:hAnsi="Arial"/>
          <w:b w:val="0"/>
          <w:i w:val="0"/>
          <w:sz w:val="21"/>
        </w:rPr>
        <w:t>a, Primary IMvigor210-to-target AUCs with BCa 95% CIs for GSE165252 and GSE78220, with AUC = 0.5 reference. b, Six ordered source-swapped sensitivity transports, explicitly separated from the primary analysis. Do not place the pooled estimate in the main panel.</w:t>
      </w:r>
    </w:p>
    <w:p>
      <w:pPr/>
      <w:r>
        <w:rPr>
          <w:rFonts w:ascii="Arial" w:hAnsi="Arial"/>
          <w:b/>
          <w:i w:val="0"/>
          <w:sz w:val="21"/>
        </w:rPr>
        <w:t xml:space="preserve">Figure 3 | Discrimination and calibration show distinct transport behaviour. </w:t>
      </w:r>
      <w:r>
        <w:rPr>
          <w:rFonts w:ascii="Arial" w:hAnsi="Arial"/>
          <w:b w:val="0"/>
          <w:i w:val="0"/>
          <w:sz w:val="21"/>
        </w:rPr>
        <w:t>a, ROC curves from the primary predictions. b, Calibration-in-the-large and calibration slope using the identical held-out predictions. c, Before/after supervised recalibration for log-loss and Brier score, with AUC shown separately to demonstrate that probability-scale improvement does not restore ranking. All intervals and error bars must be defined in the legend.</w:t>
      </w:r>
    </w:p>
    <w:p>
      <w:pPr/>
      <w:r>
        <w:rPr>
          <w:rFonts w:ascii="Arial" w:hAnsi="Arial"/>
          <w:b/>
          <w:i w:val="0"/>
          <w:sz w:val="21"/>
        </w:rPr>
        <w:t xml:space="preserve">Figure 4 | Representation and provenance perturbation constrain the explanation space. </w:t>
      </w:r>
      <w:r>
        <w:rPr>
          <w:rFonts w:ascii="Arial" w:hAnsi="Arial"/>
          <w:b w:val="0"/>
          <w:i w:val="0"/>
          <w:sz w:val="21"/>
        </w:rPr>
        <w:t>a, Complete 21-configuration design matrix. b, External AUC distributions with BCa intervals and AUC = 0.5 reference. c, Corrected gene-row mapping and the absence of all-zero genes. d, Selection-adjusted permutation max-AUC null for the complete 21-configuration search. Explicitly label the former 70-gene pattern as a data-mapping error, not a biological artefact.</w:t>
      </w:r>
    </w:p>
    <w:p>
      <w:pPr/>
      <w:r>
        <w:rPr>
          <w:rFonts w:ascii="Arial" w:hAnsi="Arial"/>
          <w:b/>
          <w:i w:val="0"/>
          <w:sz w:val="21"/>
        </w:rPr>
        <w:t xml:space="preserve">Figure 5 | Tested transport strategies do not consistently recover the signal. </w:t>
      </w:r>
      <w:r>
        <w:rPr>
          <w:rFonts w:ascii="Arial" w:hAnsi="Arial"/>
          <w:b w:val="0"/>
          <w:i w:val="0"/>
          <w:sz w:val="21"/>
        </w:rPr>
        <w:t>a, Model-by-target AUC and calibration summaries under the same held-out patients. b, Brier score and log-loss for prevalence-only, outcome-frozen and adapted strategies. c, Clinical-only comparator and the source-swapped near-miss. Do not rank methods as winners; show the multidimensional trade-off between discrimination and calibration.</w:t>
      </w:r>
    </w:p>
    <w:p>
      <w:pPr/>
      <w:r>
        <w:rPr>
          <w:rFonts w:ascii="Arial" w:hAnsi="Arial"/>
          <w:b/>
          <w:i w:val="0"/>
          <w:sz w:val="21"/>
        </w:rPr>
        <w:t xml:space="preserve">Figure 6 | Joint efficacy–toxicity prediction remains an identifiability boundary. </w:t>
      </w:r>
      <w:r>
        <w:rPr>
          <w:rFonts w:ascii="Arial" w:hAnsi="Arial"/>
          <w:b w:val="0"/>
          <w:i w:val="0"/>
          <w:sz w:val="21"/>
        </w:rPr>
        <w:t>a, Four-cell occupancy in GSE186143. b, Cross-validated joint versus independent-model log-loss and Brier score. c, Sign-permutation null of fold-level differences. Frame the figure as an identifiability and design boundary, not as evidence for or against a shared mechanism.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1 | Positive-control transport. </w:t>
      </w:r>
      <w:r>
        <w:rPr>
          <w:rFonts w:ascii="Arial" w:hAnsi="Arial"/>
          <w:b w:val="0"/>
          <w:i w:val="0"/>
          <w:sz w:val="21"/>
        </w:rPr>
        <w:t>Published 18-gene T-cell-inflamed GEP under the identical outcome-frozen pipeline; six-gene IFN-γ panel shown as sensitivity.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2 | Cohort provenance and estimand ledger. </w:t>
      </w:r>
      <w:r>
        <w:rPr>
          <w:rFonts w:ascii="Arial" w:hAnsi="Arial"/>
          <w:b w:val="0"/>
          <w:i w:val="0"/>
          <w:sz w:val="21"/>
        </w:rPr>
        <w:t>Disease, regimen, sample type, assay, endpoint, event prevalence, available covariates and primary/sensitivity role for every cohort.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3 | Descriptive pooled transport summary. </w:t>
      </w:r>
      <w:r>
        <w:rPr>
          <w:rFonts w:ascii="Arial" w:hAnsi="Arial"/>
          <w:b w:val="0"/>
          <w:i w:val="0"/>
          <w:sz w:val="21"/>
        </w:rPr>
        <w:t>Forest plot of cohort-specific AUCs and the k = 3 pooled estimate; clearly labelled descriptive only.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4 | Full 21-configuration representation audit. </w:t>
      </w:r>
      <w:r>
        <w:rPr>
          <w:rFonts w:ascii="Arial" w:hAnsi="Arial"/>
          <w:b w:val="0"/>
          <w:i w:val="0"/>
          <w:sz w:val="21"/>
        </w:rPr>
        <w:t>Complete configuration matrix with AUC, calibration, Brier, log-loss and bootstrap intervals.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5 | Gene-row mapping audit. </w:t>
      </w:r>
      <w:r>
        <w:rPr>
          <w:rFonts w:ascii="Arial" w:hAnsi="Arial"/>
          <w:b w:val="0"/>
          <w:i w:val="0"/>
          <w:sz w:val="21"/>
        </w:rPr>
        <w:t>Sex-anchor diagnostics, recovered row key, cross-cohort rank correlations and provenance checks supporting the 320-gene source of truth.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6 | Threshold sensitivity of the transport criterion. </w:t>
      </w:r>
      <w:r>
        <w:rPr>
          <w:rFonts w:ascii="Arial" w:hAnsi="Arial"/>
          <w:b w:val="0"/>
          <w:i w:val="0"/>
          <w:sz w:val="21"/>
        </w:rPr>
        <w:t>AUC-only, calibration-only and dual adjudication under slope tolerances of ±0.05, ±0.10 and ±0.20, including probability-scale and logit-scale slope conventions.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7 | Case-mix and outcome-shift audit. </w:t>
      </w:r>
      <w:r>
        <w:rPr>
          <w:rFonts w:ascii="Arial" w:hAnsi="Arial"/>
          <w:b w:val="0"/>
          <w:i w:val="0"/>
          <w:sz w:val="21"/>
        </w:rPr>
        <w:t>Outcome prevalence, stage definition, regimen, assay and harmonizable covariates across the efficacy cohorts. Do not interpret non-equivalent stage constructs causally.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8 | Toxicity-only stress tests. </w:t>
      </w:r>
      <w:r>
        <w:rPr>
          <w:rFonts w:ascii="Arial" w:hAnsi="Arial"/>
          <w:b w:val="0"/>
          <w:i w:val="0"/>
          <w:sz w:val="21"/>
        </w:rPr>
        <w:t>GSE189125, GSE216329 and GSE253720 with explicit denominator and estimand limitations; no pooling across non-equivalent toxicity definitions.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9 | External-validation precision boundary. </w:t>
      </w:r>
      <w:r>
        <w:rPr>
          <w:rFonts w:ascii="Arial" w:hAnsi="Arial"/>
          <w:b w:val="0"/>
          <w:i w:val="0"/>
          <w:sz w:val="21"/>
        </w:rPr>
        <w:t>Simulation operating characteristics at n = 71 and n = 25, showing the probability that the 95% CI excludes AUC = 0.5 for different true AUC values.</w:t>
      </w:r>
    </w:p>
    <w:p>
      <w:pPr/>
      <w:r>
        <w:rPr>
          <w:rFonts w:ascii="Arial" w:hAnsi="Arial"/>
          <w:b/>
          <w:i w:val="0"/>
          <w:sz w:val="21"/>
        </w:rPr>
        <w:t xml:space="preserve">Extended Data Fig. 10 | Reproducibility manifest. </w:t>
      </w:r>
      <w:r>
        <w:rPr>
          <w:rFonts w:ascii="Arial" w:hAnsi="Arial"/>
          <w:b w:val="0"/>
          <w:i w:val="0"/>
          <w:sz w:val="21"/>
        </w:rPr>
        <w:t>Frozen seeds, software environment, source-file hashes, source-to-figure mapping and repository identifiers.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792"/>
          </w:tcPr>
          <w:p>
            <w:r>
              <w:rPr>
                <w:rFonts w:ascii="Arial" w:hAnsi="Arial"/>
                <w:b/>
                <w:i w:val="0"/>
                <w:sz w:val="20"/>
              </w:rPr>
              <w:t>Global figure rules</w:t>
            </w:r>
          </w:p>
          <w:p>
            <w:pPr/>
            <w:r>
              <w:rPr>
                <w:rFonts w:ascii="Arial" w:hAnsi="Arial"/>
                <w:b w:val="0"/>
                <w:i w:val="0"/>
                <w:sz w:val="19"/>
              </w:rPr>
              <w:t>• Use consistent terminology: “outcome-frozen” for the primary system; “source-swapped sensitivity” for LOCO.</w:t>
            </w:r>
          </w:p>
          <w:p>
            <w:pPr/>
            <w:r>
              <w:rPr>
                <w:rFonts w:ascii="Arial" w:hAnsi="Arial"/>
                <w:b w:val="0"/>
                <w:i w:val="0"/>
                <w:sz w:val="19"/>
              </w:rPr>
              <w:t>• Use the same numerical precision throughout (AUC to 3 decimals; CIs to 3 decimals; P values exact where practical).</w:t>
            </w:r>
          </w:p>
          <w:p>
            <w:pPr/>
            <w:r>
              <w:rPr>
                <w:rFonts w:ascii="Arial" w:hAnsi="Arial"/>
                <w:b w:val="0"/>
                <w:i w:val="0"/>
                <w:sz w:val="19"/>
              </w:rPr>
              <w:t>• All uncertainty must be defined in the legend; bootstrap intervals are BCa unless explicitly labelled otherwise.</w:t>
            </w:r>
          </w:p>
          <w:p>
            <w:pPr/>
            <w:r>
              <w:rPr>
                <w:rFonts w:ascii="Arial" w:hAnsi="Arial"/>
                <w:b w:val="0"/>
                <w:i w:val="0"/>
                <w:sz w:val="19"/>
              </w:rPr>
              <w:t>• No figure may select a “best” representation without showing the complete prespecified search.</w:t>
            </w:r>
          </w:p>
          <w:p>
            <w:pPr/>
            <w:r>
              <w:rPr>
                <w:rFonts w:ascii="Arial" w:hAnsi="Arial"/>
                <w:b w:val="0"/>
                <w:i w:val="0"/>
                <w:sz w:val="19"/>
              </w:rPr>
              <w:t>• Each display item must have a matching Source Data file and manifest key.</w:t>
            </w:r>
          </w:p>
          <w:p>
            <w:pPr/>
            <w:r>
              <w:rPr>
                <w:rFonts w:ascii="Arial" w:hAnsi="Arial"/>
                <w:b w:val="0"/>
                <w:i w:val="0"/>
                <w:sz w:val="19"/>
              </w:rPr>
              <w:t>• Use accessible typography and avoid relying on colour alone to distinguish conditions.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sz w:val="16"/>
      </w:rPr>
      <w:t>Nature Cancer — Analysis submission draft | 4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