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Nature Cancer — Final Submission Checklist</w:t>
      </w:r>
    </w:p>
    <w:p>
      <w:pPr/>
      <w:r>
        <w:t>Target content type: Analysis</w:t>
      </w:r>
    </w:p>
    <w:p>
      <w:pPr/>
      <w:r>
        <w:t>Official format: 150-word unreferenced abstract; main text ≤4,000 words excluding Methods/references/figure legends; 5–8 display items; Introduction without heading; Results/Methods topical subheadings; Discussion without subheadings; references guideline ~60.</w:t>
      </w:r>
    </w:p>
    <w:p>
      <w:pPr>
        <w:pStyle w:val="Heading1"/>
      </w:pPr>
      <w:r>
        <w:t>Manuscript</w:t>
      </w:r>
    </w:p>
    <w:p>
      <w:pPr>
        <w:ind w:left="360" w:hanging="216"/>
      </w:pPr>
      <w:r>
        <w:t>• ☐ Title finalized: Decomposing the transportability of immune-state biomarkers across checkpoint immunotherapy.</w:t>
      </w:r>
    </w:p>
    <w:p>
      <w:pPr>
        <w:ind w:left="360" w:hanging="216"/>
      </w:pPr>
      <w:r>
        <w:t>• ☐ Abstract ≤150 words and unreferenced (final candidate: 150 words).</w:t>
      </w:r>
    </w:p>
    <w:p>
      <w:pPr>
        <w:ind w:left="360" w:hanging="216"/>
      </w:pPr>
      <w:r>
        <w:t>• ☐ Introduction has no heading.</w:t>
      </w:r>
    </w:p>
    <w:p>
      <w:pPr>
        <w:ind w:left="360" w:hanging="216"/>
      </w:pPr>
      <w:r>
        <w:t>• ☐ Results, Discussion, Methods structure matches Nature Cancer Analysis.</w:t>
      </w:r>
    </w:p>
    <w:p>
      <w:pPr>
        <w:ind w:left="360" w:hanging="216"/>
      </w:pPr>
      <w:r>
        <w:t>• ☐ Main display items fixed at 6; Extended Data fixed at 10 maximum.</w:t>
      </w:r>
    </w:p>
    <w:p>
      <w:pPr>
        <w:ind w:left="360" w:hanging="216"/>
      </w:pPr>
      <w:r>
        <w:t>• ☐ All author names/affiliations or double-anonymized arrangement completed.</w:t>
      </w:r>
    </w:p>
    <w:p>
      <w:pPr>
        <w:ind w:left="360" w:hanging="216"/>
      </w:pPr>
      <w:r>
        <w:t>• ☐ All numerical statements cross-checked against final manifest.</w:t>
      </w:r>
    </w:p>
    <w:p>
      <w:pPr>
        <w:pStyle w:val="Heading1"/>
      </w:pPr>
      <w:r>
        <w:t>Statistics</w:t>
      </w:r>
    </w:p>
    <w:p>
      <w:pPr>
        <w:ind w:left="360" w:hanging="216"/>
      </w:pPr>
      <w:r>
        <w:t>• ☐ Primary outcome-frozen estimand verified.</w:t>
      </w:r>
    </w:p>
    <w:p>
      <w:pPr>
        <w:ind w:left="360" w:hanging="216"/>
      </w:pPr>
      <w:r>
        <w:t>• ☐ Source-swapped LOCO explicitly labelled sensitivity.</w:t>
      </w:r>
    </w:p>
    <w:p>
      <w:pPr>
        <w:ind w:left="360" w:hanging="216"/>
      </w:pPr>
      <w:r>
        <w:t>• ☐ BCa 2,000 bootstrap CIs regenerated from frozen predictions.</w:t>
      </w:r>
    </w:p>
    <w:p>
      <w:pPr>
        <w:ind w:left="360" w:hanging="216"/>
      </w:pPr>
      <w:r>
        <w:t>• ☐ Threshold sensitivity ±0.05/±0.10/±0.20 checked.</w:t>
      </w:r>
    </w:p>
    <w:p>
      <w:pPr>
        <w:ind w:left="360" w:hanging="216"/>
      </w:pPr>
      <w:r>
        <w:t>• ☐ 18-gene GEP positive-control run verified.</w:t>
      </w:r>
    </w:p>
    <w:p>
      <w:pPr>
        <w:ind w:left="360" w:hanging="216"/>
      </w:pPr>
      <w:r>
        <w:t>• ☐ 21-configuration 2,000-permutation selection null verified.</w:t>
      </w:r>
    </w:p>
    <w:p>
      <w:pPr>
        <w:ind w:left="360" w:hanging="216"/>
      </w:pPr>
      <w:r>
        <w:t>• ☐ Precision simulations verified and cited in Results/Extended Data.</w:t>
      </w:r>
    </w:p>
    <w:p>
      <w:pPr>
        <w:ind w:left="360" w:hanging="216"/>
      </w:pPr>
      <w:r>
        <w:t>• ☐ GSE186143 identifiability analysis verified.</w:t>
      </w:r>
    </w:p>
    <w:p>
      <w:pPr>
        <w:pStyle w:val="Heading1"/>
      </w:pPr>
      <w:r>
        <w:t>Figures / Source Data</w:t>
      </w:r>
    </w:p>
    <w:p>
      <w:pPr>
        <w:ind w:left="360" w:hanging="216"/>
      </w:pPr>
      <w:r>
        <w:t>• ☐ Fig. 1–6 panels correspond exactly to legends.</w:t>
      </w:r>
    </w:p>
    <w:p>
      <w:pPr>
        <w:ind w:left="360" w:hanging="216"/>
      </w:pPr>
      <w:r>
        <w:t>• ☐ Extended Data Fig. 1–10 correspond exactly to legends and SI tables.</w:t>
      </w:r>
    </w:p>
    <w:p>
      <w:pPr>
        <w:ind w:left="360" w:hanging="216"/>
      </w:pPr>
      <w:r>
        <w:t>• ☐ Error bars / confidence intervals defined in each legend.</w:t>
      </w:r>
    </w:p>
    <w:p>
      <w:pPr>
        <w:ind w:left="360" w:hanging="216"/>
      </w:pPr>
      <w:r>
        <w:t>• ☐ AUC=0.5 reference shown in AUC plots.</w:t>
      </w:r>
    </w:p>
    <w:p>
      <w:pPr>
        <w:ind w:left="360" w:hanging="216"/>
      </w:pPr>
      <w:r>
        <w:t>• ☐ No pooled estimate shown in primary Fig. 2 panel.</w:t>
      </w:r>
    </w:p>
    <w:p>
      <w:pPr>
        <w:ind w:left="360" w:hanging="216"/>
      </w:pPr>
      <w:r>
        <w:t>• ☐ Source Data files prepared and linked to manifest.</w:t>
      </w:r>
    </w:p>
    <w:p>
      <w:pPr>
        <w:pStyle w:val="Heading1"/>
      </w:pPr>
      <w:r>
        <w:t>References / policies</w:t>
      </w:r>
    </w:p>
    <w:p>
      <w:pPr>
        <w:ind w:left="360" w:hanging="216"/>
      </w:pPr>
      <w:r>
        <w:t>• ☐ Reference numbers and in-text citations synchronized.</w:t>
      </w:r>
    </w:p>
    <w:p>
      <w:pPr>
        <w:ind w:left="360" w:hanging="216"/>
      </w:pPr>
      <w:r>
        <w:t>• ☐ Latest relevant 2024–2026 ICI biomarker/toxicity work included.</w:t>
      </w:r>
    </w:p>
    <w:p>
      <w:pPr>
        <w:ind w:left="360" w:hanging="216"/>
      </w:pPr>
      <w:r>
        <w:t>• ☐ Classic ICI biomarker and prediction-validation literature included.</w:t>
      </w:r>
    </w:p>
    <w:p>
      <w:pPr>
        <w:ind w:left="360" w:hanging="216"/>
      </w:pPr>
      <w:r>
        <w:t>• ☐ Related manuscripts disclosed.</w:t>
      </w:r>
    </w:p>
    <w:p>
      <w:pPr>
        <w:ind w:left="360" w:hanging="216"/>
      </w:pPr>
      <w:r>
        <w:t>• ☐ Competing interests/funding/ethics/data-use statements completed.</w:t>
      </w:r>
    </w:p>
    <w:p>
      <w:pPr>
        <w:ind w:left="360" w:hanging="216"/>
      </w:pPr>
      <w:r>
        <w:t>• ☐ LLM use documented in Methods if applicable.</w:t>
      </w:r>
    </w:p>
    <w:p>
      <w:pPr>
        <w:ind w:left="360" w:hanging="216"/>
      </w:pPr>
      <w:r>
        <w:t>• ☐ Nature Portfolio Reporting Summary completed.</w:t>
      </w:r>
    </w:p>
    <w:p>
      <w:pPr>
        <w:ind w:left="360" w:hanging="216"/>
      </w:pPr>
      <w:r>
        <w:t>• ☐ Software Submission Checklist completed if requested.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sz w:val="16"/>
      </w:rPr>
      <w:t>Nature Cancer — Analysis submission draft | 4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Nature Cancer — Final Submission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