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Nature Portfolio Reporting Summary — Final template for Submission System</w:t>
      </w:r>
    </w:p>
    <w:p>
      <w:pPr>
        <w:jc w:val="both"/>
      </w:pPr>
      <w:r>
        <w:t>Complete in the official Nature Portfolio submission system using the final study and source-data details.</w:t>
      </w:r>
    </w:p>
    <w:p>
      <w:pPr>
        <w:pStyle w:val="Heading2"/>
      </w:pPr>
      <w:r>
        <w:t>Study design</w:t>
      </w:r>
    </w:p>
    <w:p>
      <w:pPr>
        <w:jc w:val="both"/>
      </w:pPr>
      <w:r>
        <w:t>Retrospective comparative analysis of public checkpoint-immunotherapy cohorts. Primary efficacy transport uses an outcome-frozen system anchored in IMvigor210 and two independent target cohorts (GSE165252, GSE78220). Joint efficacy–toxicity analysis is exploratory/identifiability-focused in GSE186143.</w:t>
      </w:r>
    </w:p>
    <w:p>
      <w:pPr>
        <w:pStyle w:val="Heading2"/>
      </w:pPr>
      <w:r>
        <w:t>Sample size</w:t>
      </w:r>
    </w:p>
    <w:p>
      <w:pPr>
        <w:jc w:val="both"/>
      </w:pPr>
      <w:r>
        <w:t>IMvigor210: 298 labelled of 348; GSE165252: 71; GSE78220: 25; GSE186143: 47 joint-evaluable. Additional stress-test cohorts are listed in Supplementary Table S1.</w:t>
      </w:r>
    </w:p>
    <w:p>
      <w:pPr>
        <w:pStyle w:val="Heading2"/>
      </w:pPr>
      <w:r>
        <w:t>Data exclusions</w:t>
      </w:r>
    </w:p>
    <w:p>
      <w:pPr>
        <w:jc w:val="both"/>
      </w:pPr>
      <w:r>
        <w:t>Use the locked cohort ledger and analysis manifest. GSE287541 is withheld because its estimand is longitudinal time × group rather than baseline cross-cohort prediction.</w:t>
      </w:r>
    </w:p>
    <w:p>
      <w:pPr>
        <w:pStyle w:val="Heading2"/>
      </w:pPr>
      <w:r>
        <w:t>Randomization / allocation</w:t>
      </w:r>
    </w:p>
    <w:p>
      <w:pPr>
        <w:jc w:val="both"/>
      </w:pPr>
      <w:r>
        <w:t>Not applicable: no experimental allocation was performed.</w:t>
      </w:r>
    </w:p>
    <w:p>
      <w:pPr>
        <w:pStyle w:val="Heading2"/>
      </w:pPr>
      <w:r>
        <w:t>Blinding</w:t>
      </w:r>
    </w:p>
    <w:p>
      <w:pPr>
        <w:jc w:val="both"/>
      </w:pPr>
      <w:r>
        <w:t>Not applicable to public retrospective data; outcome labels were not used in the primary target transformation or outcome-frozen model fitting.</w:t>
      </w:r>
    </w:p>
    <w:p>
      <w:pPr>
        <w:pStyle w:val="Heading2"/>
      </w:pPr>
      <w:r>
        <w:t>Statistical analysis</w:t>
      </w:r>
    </w:p>
    <w:p>
      <w:pPr>
        <w:jc w:val="both"/>
      </w:pPr>
      <w:r>
        <w:t>AUROC with BCa bootstrap 95% CIs; calibration intercept/slope; Brier score; log-loss; 21-configuration representation audit; 2,000-permutation selection-adjusted null; precision simulation; sign-permutation for joint-model comparison.</w:t>
      </w:r>
    </w:p>
    <w:p>
      <w:pPr>
        <w:pStyle w:val="Heading2"/>
      </w:pPr>
      <w:r>
        <w:t>Software</w:t>
      </w:r>
    </w:p>
    <w:p>
      <w:pPr>
        <w:jc w:val="both"/>
      </w:pPr>
      <w:r>
        <w:t>Python and R; exact versions and package environment must be supplied in the final manifest/repository.</w:t>
      </w:r>
    </w:p>
    <w:p>
      <w:pPr>
        <w:pStyle w:val="Heading2"/>
      </w:pPr>
      <w:r>
        <w:t>Code and data</w:t>
      </w:r>
    </w:p>
    <w:p>
      <w:pPr>
        <w:jc w:val="both"/>
      </w:pPr>
      <w:r>
        <w:t>Public input datasets; corrected IMvigor210 row-key, analysis manifest, source-data files and reproducible code to be released with a permanent identifier before formal submission.</w:t>
      </w:r>
    </w:p>
    <w:sectPr w:rsidR="00FC693F" w:rsidRPr="0006063C" w:rsidSect="00034616">
      <w:footerReference w:type="default" r:id="rId9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sz w:val="16"/>
      </w:rPr>
      <w:t>Nature Cancer — Analysis submission draft | 4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Nature Cancer — Reporting Summary (Final Template)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