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Nature Cancer v86 — Final Editorial &amp; Reviewer Revision Notes</w:t>
      </w:r>
    </w:p>
    <w:p>
      <w:r>
        <w:t>Target: Nature Cancer — Analysis. Basis: supplied v85 manuscript and v85 Supplementary Information, with current Nature Cancer guidance checked online in October 2026.</w:t>
      </w:r>
    </w:p>
    <w:p>
      <w:pPr>
        <w:pStyle w:val="Heading2"/>
      </w:pPr>
      <w:r>
        <w:t>1. Editorial verdict</w:t>
      </w:r>
    </w:p>
    <w:p>
      <w:r>
        <w:t>Recommended first-choice journal: Nature Cancer — Analysis. The paper now has a clear cancer/immunotherapy question—whether apparent biomarker non-reproducibility can be decomposed into predictor, measurement, outcome and target-population shifts—and a falsifiable transportability framework. The central risk remains that small external cohorts limit precision; therefore the manuscript must not equate failure to establish transport with biological absence.</w:t>
      </w:r>
    </w:p>
    <w:p>
      <w:r>
        <w:t>Estimated editorial posture after the current revision: credible for editorial consideration and substantially stronger than earlier drafts; external-review probability is still conditional on complete figure regeneration, final data-manifest concordance and administrative completeness. This estimate is a judgment, not a journal statistic.</w:t>
      </w:r>
    </w:p>
    <w:p>
      <w:pPr>
        <w:pStyle w:val="Heading2"/>
      </w:pPr>
      <w:r>
        <w:t>2. Nature Cancer format and structure</w:t>
      </w:r>
    </w:p>
    <w:p>
      <w:pPr>
        <w:pStyle w:val="ListBullet"/>
      </w:pPr>
      <w:r>
        <w:t>Analysis: ≤4,000 words main text, 150-word unreferenced abstract, 5–8 main display items; Introduction without heading; Results and Methods with topical subheadings; Discussion without subheadings; references typically ≤60.</w:t>
      </w:r>
    </w:p>
    <w:p>
      <w:pPr>
        <w:pStyle w:val="ListBullet"/>
      </w:pPr>
      <w:r>
        <w:t>Manuscript file should include Methods, figures and Extended Data where applicable; Supplementary Information is optional but is sent to reviewers when supplied.</w:t>
      </w:r>
    </w:p>
    <w:p>
      <w:pPr>
        <w:pStyle w:val="ListBullet"/>
      </w:pPr>
      <w:r>
        <w:t>LLM use must be documented in Methods; authorship cannot be assigned to an LLM.</w:t>
      </w:r>
    </w:p>
    <w:p>
      <w:pPr>
        <w:pStyle w:val="Heading2"/>
      </w:pPr>
      <w:r>
        <w:t>3. P0 — statistical and data checks</w:t>
      </w:r>
    </w:p>
    <w:p>
      <w:pPr>
        <w:pStyle w:val="ListNumber"/>
      </w:pPr>
      <w:r>
        <w:t>Freeze the corrected 320-gene source-of-truth and regenerate every prediction, table and figure from one manifest.</w:t>
      </w:r>
    </w:p>
    <w:p>
      <w:pPr>
        <w:pStyle w:val="ListNumber"/>
      </w:pPr>
      <w:r>
        <w:t>Primary estimand must remain IMvigor210-anchored, with the outcome model frozen; outcome-free target transformation must be described explicitly so that “frozen” is not overstated.</w:t>
      </w:r>
    </w:p>
    <w:p>
      <w:pPr>
        <w:pStyle w:val="ListNumber"/>
      </w:pPr>
      <w:r>
        <w:t>Keep all six source-swapped transports as sensitivity only; do not mix them with the primary estimand in the abstract.</w:t>
      </w:r>
    </w:p>
    <w:p>
      <w:pPr>
        <w:pStyle w:val="ListNumber"/>
      </w:pPr>
      <w:r>
        <w:t>Retain the published 18-gene T-cell-inflamed GEP as the primary positive control; the six-gene IFN-γ panel is sensitivity only.</w:t>
      </w:r>
    </w:p>
    <w:p>
      <w:pPr>
        <w:pStyle w:val="ListNumber"/>
      </w:pPr>
      <w:r>
        <w:t>Keep the ±0.10 slope criterion as a reporting convention and show AUC-only, calibration-only and ±0.05/±0.10/±0.20 sensitivity results; do not present ±0.10 as universally validated.</w:t>
      </w:r>
    </w:p>
    <w:p>
      <w:pPr>
        <w:pStyle w:val="ListNumber"/>
      </w:pPr>
      <w:r>
        <w:t>21-configuration search: use the documented 2,000-permutation selection-adjusted max-AUC null; report observed max and null quantiles without post-hoc model selection.</w:t>
      </w:r>
    </w:p>
    <w:p>
      <w:pPr>
        <w:pStyle w:val="ListNumber"/>
      </w:pPr>
      <w:r>
        <w:t>External-validation precision: retain the supplied simulation showing that n=25 is weakly informative and that moderate true effects cannot be excluded; cite Riley external-validation sample-size guidance.</w:t>
      </w:r>
    </w:p>
    <w:p>
      <w:pPr>
        <w:pStyle w:val="ListNumber"/>
      </w:pPr>
      <w:r>
        <w:t>Case-mix audit: show prevalence, assay, regimen, stage/clinical composition and available covariates as descriptive shifts; make no causal attribution without harmonisable definitions.</w:t>
      </w:r>
    </w:p>
    <w:p>
      <w:pPr>
        <w:pStyle w:val="ListNumber"/>
      </w:pPr>
      <w:r>
        <w:t>Joint efficacy–toxicity: retain as identifiability boundary only; no shared-mechanism claim from n=47.</w:t>
      </w:r>
    </w:p>
    <w:p>
      <w:pPr>
        <w:pStyle w:val="Heading2"/>
      </w:pPr>
      <w:r>
        <w:t>4. Text revisions required</w:t>
      </w:r>
    </w:p>
    <w:p>
      <w:pPr>
        <w:pStyle w:val="ListBullet"/>
      </w:pPr>
      <w:r>
        <w:t>Abstract: replace “transported without re-estimation” with “outcome model frozen; outcome-free target transformation” to match Methods.</w:t>
      </w:r>
    </w:p>
    <w:p>
      <w:pPr>
        <w:pStyle w:val="ListBullet"/>
      </w:pPr>
      <w:r>
        <w:t>Abstract: avoid “fail to transport” as an intrinsic conclusion; use “did not establish reproducible external transport under the prespecified criteria.”</w:t>
      </w:r>
    </w:p>
    <w:p>
      <w:pPr>
        <w:pStyle w:val="ListBullet"/>
      </w:pPr>
      <w:r>
        <w:t>Introduction: explicitly include target-population/case-mix shift in the framework, not only predictor/measurement/outcome.</w:t>
      </w:r>
    </w:p>
    <w:p>
      <w:pPr>
        <w:pStyle w:val="ListBullet"/>
      </w:pPr>
      <w:r>
        <w:t>Results: state the primary frozen direction first (IMvigor210→GSE165252/GSE78220); LOCO is sensitivity.</w:t>
      </w:r>
    </w:p>
    <w:p>
      <w:pPr>
        <w:pStyle w:val="ListBullet"/>
      </w:pPr>
      <w:r>
        <w:t>Results: move the pooled AUC to Extended Data or clearly label it descriptive; do not interpret k=3 random-effects pooling as a primary inferential result.</w:t>
      </w:r>
    </w:p>
    <w:p>
      <w:pPr>
        <w:pStyle w:val="ListBullet"/>
      </w:pPr>
      <w:r>
        <w:t>Discussion: emphasize that current data constrain the explanation space rather than identify a universal cause.</w:t>
      </w:r>
    </w:p>
    <w:p>
      <w:pPr>
        <w:pStyle w:val="ListBullet"/>
      </w:pPr>
      <w:r>
        <w:t>Discussion: do not claim the data prove absence of underlying immune-state biology.</w:t>
      </w:r>
    </w:p>
    <w:p>
      <w:pPr>
        <w:pStyle w:val="ListBullet"/>
      </w:pPr>
      <w:r>
        <w:t>Methods: define AUC, calibration intercept/slope, Brier and log-loss mathematically and specify confidence-interval method, bootstrap count and seed.</w:t>
      </w:r>
    </w:p>
    <w:p>
      <w:pPr>
        <w:pStyle w:val="ListBullet"/>
      </w:pPr>
      <w:r>
        <w:t>Methods: clarify that target transformations are outcome-free and therefore do not use labels, while the outcome model remains frozen.</w:t>
      </w:r>
    </w:p>
    <w:p>
      <w:pPr>
        <w:pStyle w:val="ListBullet"/>
      </w:pPr>
      <w:r>
        <w:t>Methods: explain Procrustes alignment exactly and state whether centering/rotation/translation parameters are estimated without labels.</w:t>
      </w:r>
    </w:p>
    <w:p>
      <w:pPr>
        <w:pStyle w:val="ListBullet"/>
      </w:pPr>
      <w:r>
        <w:t>Data availability: insert the real permanent repository identifier before formal submission; do not leave “will be provided” language in the uploaded version.</w:t>
      </w:r>
    </w:p>
    <w:p>
      <w:pPr>
        <w:pStyle w:val="Heading2"/>
      </w:pPr>
      <w:r>
        <w:t>5. Formula audit</w:t>
      </w:r>
    </w:p>
    <w:p>
      <w:pPr>
        <w:pStyle w:val="ListBullet"/>
      </w:pPr>
      <w:r>
        <w:t>Primary estimand: P(Y=1 | S0).</w:t>
      </w:r>
    </w:p>
    <w:p>
      <w:pPr>
        <w:pStyle w:val="ListBullet"/>
      </w:pPr>
      <w:r>
        <w:t>Operational transform: X* = CLR(N(X)); Zt = PCAk(X*); Z̃t = Procrustes(Zt, Zsource); p̂t = logistic(β̂0 + β̂′Z̃t).</w:t>
      </w:r>
    </w:p>
    <w:p>
      <w:pPr>
        <w:pStyle w:val="ListBullet"/>
      </w:pPr>
      <w:r>
        <w:t>Calibration: logit{P(Y=1)} = α + γ × logit(p̂); ideal α=0, γ=1.</w:t>
      </w:r>
    </w:p>
    <w:p>
      <w:pPr>
        <w:pStyle w:val="ListBullet"/>
      </w:pPr>
      <w:r>
        <w:t>Brier = n⁻¹ Σ(p̂i−Yi)²; Log-loss = −n⁻¹ Σ[Yi log(p̂i)+(1−Yi)log(1−p̂i)].</w:t>
      </w:r>
    </w:p>
    <w:p>
      <w:pPr>
        <w:pStyle w:val="ListBullet"/>
      </w:pPr>
      <w:r>
        <w:t>Licensing convention: BCa 95% CI for external AUC excludes 0.5 in the beneficial direction AND |γ−1|≤0.10. This is a declared convention, not a universal standard.</w:t>
      </w:r>
    </w:p>
    <w:p>
      <w:pPr>
        <w:pStyle w:val="Heading2"/>
      </w:pPr>
      <w:r>
        <w:t>6. Figure consistency — mandatory</w:t>
      </w:r>
    </w:p>
    <w:p>
      <w:pPr>
        <w:pStyle w:val="ListBullet"/>
      </w:pPr>
      <w:r>
        <w:t>Fig. 1: predictor–measurement–outcome–population transport system; label primary versus sensitivity estimands.</w:t>
      </w:r>
    </w:p>
    <w:p>
      <w:pPr>
        <w:pStyle w:val="ListBullet"/>
      </w:pPr>
      <w:r>
        <w:t>Fig. 2: primary frozen AUC in panel a; source-swapped sensitivity in b; panel c must either show the 18-gene primary GEP control or be explicitly labelled six-gene sensitivity-only and cross-reference ED Fig. 1.</w:t>
      </w:r>
    </w:p>
    <w:p>
      <w:pPr>
        <w:pStyle w:val="ListBullet"/>
      </w:pPr>
      <w:r>
        <w:t>Fig. 3: use identical held-out predictions for ROC, calibration and recalibration comparisons; do not imply calibration rescue when AUC is unchanged.</w:t>
      </w:r>
    </w:p>
    <w:p>
      <w:pPr>
        <w:pStyle w:val="ListBullet"/>
      </w:pPr>
      <w:r>
        <w:t>Fig. 4: show all 21 configurations and selection-adjusted permutation max-AUC null; former 70-gene pattern must be labelled data-mapping error.</w:t>
      </w:r>
    </w:p>
    <w:p>
      <w:pPr>
        <w:pStyle w:val="ListBullet"/>
      </w:pPr>
      <w:r>
        <w:t>Fig. 5: do not rank a winner; show multidimensional discrimination/calibration/probability trade-offs and the AUC-only near-miss.</w:t>
      </w:r>
    </w:p>
    <w:p>
      <w:pPr>
        <w:pStyle w:val="ListBullet"/>
      </w:pPr>
      <w:r>
        <w:t>Fig. 6: frame as identifiability boundary; keep 2×2 occupancy, joint vs independent model metrics and permutation null.</w:t>
      </w:r>
    </w:p>
    <w:p>
      <w:pPr>
        <w:pStyle w:val="ListBullet"/>
      </w:pPr>
      <w:r>
        <w:t>Every panel must carry n/events, confidence-interval definition, and exact metric units in the legend where relevant.</w:t>
      </w:r>
    </w:p>
    <w:p>
      <w:pPr>
        <w:pStyle w:val="Heading2"/>
      </w:pPr>
      <w:r>
        <w:t>7. References — final curation</w:t>
      </w:r>
    </w:p>
    <w:p>
      <w:r>
        <w:t>The final manuscript reference list has been expanded to 40 high-quality references spanning classic checkpoint biology, canonical immune-state biomarkers, recent Nature Cancer/Nature Medicine ICI prediction and toxicity studies, prediction-model calibration/transportability standards, and reporting guidelines. The list intentionally stays below Nature Cancer’s usual 60-reference guideline.</w:t>
      </w:r>
    </w:p>
    <w:p>
      <w:r>
        <w:t>Priority recent anchors: Chang et al., Nat Cancer 2024 (LORIS); Holder et al., Nat Rev Cancer 2024; Budczies et al., Nat Rev Clin Oncol 2024; Yoo et al., Nat Med 2025 (SCORPIO); Greenwald et al., Nat Cancer 2026; Ma et al., Nat Cancer 2026. Priority methodological anchors: Van Calster 2019; Steyerberg 2010; Riley 2021/2022; Collins 2015 and 2024; PROBAST 2019; DECIDE-AI 2022; FUTURE-AI 2025. Also include Pan et al. Nat Mach Intell 2026 and Ploddi et al. Diagn Progn Res 2026 as the most recent transportability-methodology references.</w:t>
      </w:r>
    </w:p>
    <w:p>
      <w:pPr>
        <w:pStyle w:val="Heading2"/>
      </w:pPr>
      <w:r>
        <w:t>8. Journal recommendation</w:t>
      </w:r>
    </w:p>
    <w:p>
      <w:r>
        <w:t>1. Nature Cancer — Analysis: best fit and first submission target. 2. Nature Medicine — Analysis/Article: stronger only after prospective clinical validation. 3. Nature Methods — Analysis: logical methodological fallback if the manuscript is repositioned as a general prediction-model transport benchmark. 4. Cancer Discovery or JCO Precision Oncology: specialist Q1 alternatives if Nature Cancer declines on novelty/priority rather than validity.</w:t>
      </w:r>
    </w:p>
    <w:p>
      <w:pPr>
        <w:pStyle w:val="Heading2"/>
      </w:pPr>
      <w:r>
        <w:t>9. Final pre-upload checklist</w:t>
      </w:r>
    </w:p>
    <w:p>
      <w:pPr>
        <w:pStyle w:val="ListBullet"/>
      </w:pPr>
      <w:r>
        <w:t>Author names, affiliations, corresponding author and ORCID information completed.</w:t>
      </w:r>
    </w:p>
    <w:p>
      <w:pPr>
        <w:pStyle w:val="ListBullet"/>
      </w:pPr>
      <w:r>
        <w:t>Cover letter finalized and related-manuscript disclosures completed.</w:t>
      </w:r>
    </w:p>
    <w:p>
      <w:pPr>
        <w:pStyle w:val="ListBullet"/>
      </w:pPr>
      <w:r>
        <w:t>All six main figures and all ten Extended Data files regenerated from the same manifest.</w:t>
      </w:r>
    </w:p>
    <w:p>
      <w:pPr>
        <w:pStyle w:val="ListBullet"/>
      </w:pPr>
      <w:r>
        <w:t>Source Data files mapped one-to-one to every figure/panel.</w:t>
      </w:r>
    </w:p>
    <w:p>
      <w:pPr>
        <w:pStyle w:val="ListBullet"/>
      </w:pPr>
      <w:r>
        <w:t>Permanent code/data repository identifier inserted.</w:t>
      </w:r>
    </w:p>
    <w:p>
      <w:pPr>
        <w:pStyle w:val="ListBullet"/>
      </w:pPr>
      <w:r>
        <w:t>Reporting Summary and LLM-use disclosure completed truthfully.</w:t>
      </w:r>
    </w:p>
    <w:p>
      <w:pPr>
        <w:pStyle w:val="ListBullet"/>
      </w:pPr>
      <w:r>
        <w:t>Reference DOI/metadata checked against source pages.</w:t>
      </w:r>
    </w:p>
    <w:p>
      <w:pPr>
        <w:pStyle w:val="ListBullet"/>
      </w:pPr>
      <w:r>
        <w:t>Manuscript, Supplementary Information, figures, Source Data and code archive pass a final numerical concordance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Nature Cancer v86 – Final Editorial and Reviewer Revision Notes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